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1F019E" w:rsidRDefault="006A38E4" w:rsidP="000E7583">
      <w:pPr>
        <w:pStyle w:val="Pr-formataoHTML"/>
        <w:jc w:val="center"/>
        <w:rPr>
          <w:rFonts w:ascii="Arial" w:hAnsi="Arial" w:cs="Arial"/>
          <w:b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– A</w:t>
      </w:r>
      <w:r w:rsidR="003E1B5B">
        <w:rPr>
          <w:rFonts w:ascii="Arial" w:hAnsi="Arial" w:cs="Arial"/>
          <w:b/>
        </w:rPr>
        <w:t xml:space="preserve"> 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N.º ../2018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ELETRÔNICO N.º ../2018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00322A" w:rsidRPr="00F3030D" w:rsidRDefault="00966733" w:rsidP="0000322A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00322A">
        <w:rPr>
          <w:rFonts w:ascii="Arial" w:hAnsi="Arial" w:cs="Arial"/>
          <w:sz w:val="20"/>
        </w:rPr>
        <w:t>Registro de p</w:t>
      </w:r>
      <w:r w:rsidR="0000322A" w:rsidRPr="002F154A">
        <w:rPr>
          <w:rFonts w:ascii="Arial" w:hAnsi="Arial" w:cs="Arial"/>
          <w:sz w:val="20"/>
        </w:rPr>
        <w:t xml:space="preserve">reços </w:t>
      </w:r>
      <w:r w:rsidR="0000322A" w:rsidRPr="00C47950">
        <w:rPr>
          <w:rFonts w:ascii="Arial" w:hAnsi="Arial" w:cs="Arial"/>
          <w:sz w:val="20"/>
        </w:rPr>
        <w:t>aquisição de materiais filtrantes para serem utilizados em unidades de filtros rápidos localizados na Estação de Tratamen</w:t>
      </w:r>
      <w:r w:rsidR="0000322A">
        <w:rPr>
          <w:rFonts w:ascii="Arial" w:hAnsi="Arial" w:cs="Arial"/>
          <w:sz w:val="20"/>
        </w:rPr>
        <w:t>to de Água da cidade de Leme/SP</w:t>
      </w:r>
      <w:r w:rsidR="0000322A" w:rsidRPr="002F154A">
        <w:rPr>
          <w:rFonts w:ascii="Arial" w:hAnsi="Arial" w:cs="Arial"/>
          <w:sz w:val="20"/>
        </w:rPr>
        <w:t>, conforme especificações</w:t>
      </w:r>
      <w:r w:rsidR="0000322A">
        <w:rPr>
          <w:rFonts w:ascii="Arial" w:hAnsi="Arial" w:cs="Arial"/>
          <w:sz w:val="20"/>
        </w:rPr>
        <w:t xml:space="preserve"> e quantidades do </w:t>
      </w:r>
      <w:r w:rsidR="0000322A" w:rsidRPr="00F3030D">
        <w:rPr>
          <w:rFonts w:ascii="Arial" w:hAnsi="Arial" w:cs="Arial"/>
          <w:sz w:val="20"/>
        </w:rPr>
        <w:t>Anexo I – Termo de Referência d</w:t>
      </w:r>
      <w:r w:rsidR="0000322A">
        <w:rPr>
          <w:rFonts w:ascii="Arial" w:hAnsi="Arial" w:cs="Arial"/>
          <w:sz w:val="20"/>
        </w:rPr>
        <w:t>o</w:t>
      </w:r>
      <w:r w:rsidR="0000322A" w:rsidRPr="00F3030D">
        <w:rPr>
          <w:rFonts w:ascii="Arial" w:hAnsi="Arial" w:cs="Arial"/>
          <w:sz w:val="20"/>
        </w:rPr>
        <w:t xml:space="preserve"> Edital.</w:t>
      </w:r>
    </w:p>
    <w:p w:rsidR="003E1B5B" w:rsidRPr="003E1B5B" w:rsidRDefault="003E1B5B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00322A" w:rsidRDefault="0000322A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201</w:t>
      </w:r>
      <w:r w:rsidR="001D3B1D"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e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>, resolve REGISTRAR OS PREÇOS da empresa ..............................., sita à ............................., inscrita no CNPJ sob n.º ................................ e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e CPF n.º ......................, doravante denominada DETENTORA DA ATA/CONTRATADA, tendo em vista que a proposta apresentada representou o menor preço para o fornecimento </w:t>
      </w:r>
      <w:r w:rsidR="0000322A" w:rsidRPr="00C47950">
        <w:rPr>
          <w:rFonts w:ascii="Arial" w:hAnsi="Arial" w:cs="Arial"/>
          <w:sz w:val="20"/>
        </w:rPr>
        <w:t>de materiais filtrantes para serem utilizados em unidades de filtros rápidos localizados na Estação de Tratamen</w:t>
      </w:r>
      <w:r w:rsidR="0000322A">
        <w:rPr>
          <w:rFonts w:ascii="Arial" w:hAnsi="Arial" w:cs="Arial"/>
          <w:sz w:val="20"/>
        </w:rPr>
        <w:t>to de Água da cidade de Leme/SP</w:t>
      </w:r>
      <w:r w:rsidR="003E1B5B" w:rsidRPr="002F154A">
        <w:rPr>
          <w:rFonts w:ascii="Arial" w:hAnsi="Arial" w:cs="Arial"/>
          <w:sz w:val="20"/>
        </w:rPr>
        <w:t>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00322A" w:rsidRPr="00C47950">
        <w:rPr>
          <w:rFonts w:ascii="Arial" w:hAnsi="Arial" w:cs="Arial"/>
          <w:sz w:val="20"/>
        </w:rPr>
        <w:t>de materiais filtrantes para serem utilizados em unidades de filtros rápidos localizados na Estação de Tratamen</w:t>
      </w:r>
      <w:r w:rsidR="0000322A">
        <w:rPr>
          <w:rFonts w:ascii="Arial" w:hAnsi="Arial" w:cs="Arial"/>
          <w:sz w:val="20"/>
        </w:rPr>
        <w:t>to de Água da cidade de Leme/SP</w:t>
      </w:r>
      <w:r w:rsidR="003E1B5B" w:rsidRPr="002F154A">
        <w:rPr>
          <w:rFonts w:ascii="Arial" w:hAnsi="Arial" w:cs="Arial"/>
          <w:sz w:val="20"/>
        </w:rPr>
        <w:t>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4110"/>
        <w:gridCol w:w="1276"/>
        <w:gridCol w:w="1306"/>
      </w:tblGrid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37173">
              <w:rPr>
                <w:rFonts w:ascii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17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173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Qtd.</w:t>
            </w:r>
          </w:p>
        </w:tc>
      </w:tr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Areia filtrante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m</w:t>
            </w:r>
            <w:r w:rsidRPr="001371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 xml:space="preserve">Seixo rolado – 3/4” a 1/2” 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m</w:t>
            </w:r>
            <w:r w:rsidRPr="001371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Seixo rolado – 1/2” a 1/4”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m</w:t>
            </w:r>
            <w:r w:rsidRPr="001371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 xml:space="preserve">Seixo rolado – 1/4” a 1/8” 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m</w:t>
            </w:r>
            <w:r w:rsidRPr="001371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0322A" w:rsidRPr="00137173" w:rsidTr="001B794D">
        <w:trPr>
          <w:jc w:val="center"/>
        </w:trPr>
        <w:tc>
          <w:tcPr>
            <w:tcW w:w="742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110" w:type="dxa"/>
            <w:vAlign w:val="center"/>
          </w:tcPr>
          <w:p w:rsidR="0000322A" w:rsidRPr="00137173" w:rsidRDefault="0000322A" w:rsidP="001B794D">
            <w:pPr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Carvão Antracito</w:t>
            </w:r>
          </w:p>
        </w:tc>
        <w:tc>
          <w:tcPr>
            <w:tcW w:w="127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m</w:t>
            </w:r>
            <w:r w:rsidRPr="001371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6" w:type="dxa"/>
            <w:vAlign w:val="center"/>
          </w:tcPr>
          <w:p w:rsidR="0000322A" w:rsidRPr="00137173" w:rsidRDefault="0000322A" w:rsidP="001B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17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0322A" w:rsidRPr="00B37D5B" w:rsidRDefault="00BF65C1" w:rsidP="000032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2.2) </w:t>
      </w:r>
      <w:r w:rsidR="0000322A" w:rsidRPr="00B37D5B">
        <w:rPr>
          <w:rFonts w:ascii="Arial" w:hAnsi="Arial" w:cs="Arial"/>
          <w:sz w:val="20"/>
          <w:szCs w:val="20"/>
        </w:rPr>
        <w:t>O fornecimento dos materiais será efetuado em conformidade com as determinações</w:t>
      </w:r>
      <w:r w:rsidR="0000322A">
        <w:rPr>
          <w:rFonts w:ascii="Arial" w:hAnsi="Arial" w:cs="Arial"/>
          <w:sz w:val="20"/>
          <w:szCs w:val="20"/>
        </w:rPr>
        <w:t xml:space="preserve"> e especificações</w:t>
      </w:r>
      <w:r w:rsidR="0000322A" w:rsidRPr="00B37D5B">
        <w:rPr>
          <w:rFonts w:ascii="Arial" w:hAnsi="Arial" w:cs="Arial"/>
          <w:sz w:val="20"/>
          <w:szCs w:val="20"/>
        </w:rPr>
        <w:t xml:space="preserve"> do Anexo I – Termo de Referência deste Edital e mediante a expedição, pelo Departamento de Compras e Licitações da SAECIL, do Pedido de Fornecimento </w:t>
      </w:r>
      <w:r w:rsidR="0000322A" w:rsidRPr="000E4E39">
        <w:rPr>
          <w:rFonts w:ascii="Arial" w:hAnsi="Arial" w:cs="Arial"/>
          <w:b/>
          <w:sz w:val="20"/>
          <w:szCs w:val="20"/>
        </w:rPr>
        <w:t>(Anexo II – B)</w:t>
      </w:r>
      <w:r w:rsidR="0000322A"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00322A" w:rsidRPr="00756E6D" w:rsidRDefault="00BF65C1" w:rsidP="000032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2.3) </w:t>
      </w:r>
      <w:r w:rsidR="0000322A" w:rsidRPr="00756E6D">
        <w:rPr>
          <w:rFonts w:ascii="Arial" w:hAnsi="Arial" w:cs="Arial"/>
          <w:sz w:val="20"/>
          <w:szCs w:val="20"/>
        </w:rPr>
        <w:t xml:space="preserve">Os materiais deverão ser entregues no prazo de </w:t>
      </w:r>
      <w:r w:rsidR="0000322A" w:rsidRPr="00756E6D">
        <w:rPr>
          <w:rFonts w:ascii="Arial" w:hAnsi="Arial" w:cs="Arial"/>
          <w:b/>
          <w:sz w:val="20"/>
          <w:szCs w:val="20"/>
        </w:rPr>
        <w:t>até 30 (trinta) dias</w:t>
      </w:r>
      <w:r w:rsidR="0000322A" w:rsidRPr="00756E6D">
        <w:rPr>
          <w:rFonts w:ascii="Arial" w:hAnsi="Arial" w:cs="Arial"/>
          <w:sz w:val="20"/>
          <w:szCs w:val="20"/>
        </w:rPr>
        <w:t xml:space="preserve"> a contar da emissão do Pedido de Fornecimento pelo Departamento de Compras e Licitação da SAECIL, onde tal documento substituirá o Contrato.</w:t>
      </w:r>
    </w:p>
    <w:p w:rsidR="0000322A" w:rsidRDefault="0000322A" w:rsidP="00631911">
      <w:pPr>
        <w:jc w:val="both"/>
        <w:rPr>
          <w:rFonts w:ascii="Arial" w:hAnsi="Arial" w:cs="Arial"/>
          <w:sz w:val="20"/>
          <w:szCs w:val="20"/>
        </w:rPr>
      </w:pPr>
    </w:p>
    <w:p w:rsidR="0000322A" w:rsidRDefault="00BF65C1" w:rsidP="000032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00322A" w:rsidRPr="00756E6D">
        <w:rPr>
          <w:rFonts w:ascii="Arial" w:hAnsi="Arial" w:cs="Arial"/>
          <w:sz w:val="20"/>
          <w:szCs w:val="20"/>
        </w:rPr>
        <w:t>A Detentora da Ata/Contratada deverá entregar os materiais na Estação de Tratamento de Água da SAECIL, localizada na Rodovia Anhanguera, km 193, Leme/SP, em dias úteis, das 08h00 às 18h00, observando as exigências e especificações constantes do Anexo I – Termo de Referência.</w:t>
      </w:r>
    </w:p>
    <w:p w:rsidR="00631911" w:rsidRPr="009D139C" w:rsidRDefault="00631911" w:rsidP="00631911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r w:rsidRPr="00BF65C1">
        <w:rPr>
          <w:rFonts w:ascii="Arial" w:hAnsi="Arial" w:cs="Arial"/>
          <w:sz w:val="20"/>
          <w:szCs w:val="20"/>
        </w:rPr>
        <w:t>) Durante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>) Constituem motivos para cancelamento da Ata de Registro de Preços as situações referidas nos Artigos 77 e 78 da Lei Federal n.º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</w:t>
      </w:r>
      <w:r w:rsidR="0000322A">
        <w:rPr>
          <w:rFonts w:ascii="Arial" w:hAnsi="Arial" w:cs="Arial"/>
          <w:sz w:val="20"/>
          <w:szCs w:val="20"/>
        </w:rPr>
        <w:t>C</w:t>
      </w:r>
      <w:r w:rsidRPr="00A00E0F">
        <w:rPr>
          <w:rFonts w:ascii="Arial" w:hAnsi="Arial" w:cs="Arial"/>
          <w:sz w:val="20"/>
          <w:szCs w:val="20"/>
        </w:rPr>
        <w:t>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lastRenderedPageBreak/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 recebimento e aceitação do objeto desta licitação serão observadas, no que couberem, as disposições contidas nos Artigos 73 a 76 da Lei Federal n.°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 xml:space="preserve">até </w:t>
      </w:r>
      <w:r w:rsidR="0000322A">
        <w:rPr>
          <w:rFonts w:ascii="Arial" w:hAnsi="Arial" w:cs="Arial"/>
          <w:b/>
          <w:sz w:val="20"/>
          <w:szCs w:val="20"/>
        </w:rPr>
        <w:t>30</w:t>
      </w:r>
      <w:r w:rsidRPr="007E1056">
        <w:rPr>
          <w:rFonts w:ascii="Arial" w:hAnsi="Arial" w:cs="Arial"/>
          <w:b/>
          <w:sz w:val="20"/>
          <w:szCs w:val="20"/>
        </w:rPr>
        <w:t xml:space="preserve"> (</w:t>
      </w:r>
      <w:r w:rsidR="0000322A">
        <w:rPr>
          <w:rFonts w:ascii="Arial" w:hAnsi="Arial" w:cs="Arial"/>
          <w:b/>
          <w:sz w:val="20"/>
          <w:szCs w:val="20"/>
        </w:rPr>
        <w:t>trinta</w:t>
      </w:r>
      <w:r w:rsidRPr="007E1056">
        <w:rPr>
          <w:rFonts w:ascii="Arial" w:hAnsi="Arial" w:cs="Arial"/>
          <w:b/>
          <w:sz w:val="20"/>
          <w:szCs w:val="20"/>
        </w:rPr>
        <w:t>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6.7) Todo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7.1) Por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00322A" w:rsidRDefault="0000322A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V) Prestar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7.5)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n.º ../201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2D760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CF4310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CF4310">
        <w:rPr>
          <w:rFonts w:ascii="Arial" w:hAnsi="Arial" w:cs="Arial"/>
          <w:sz w:val="20"/>
          <w:szCs w:val="20"/>
        </w:rPr>
        <w:t>ão</w:t>
      </w:r>
      <w:r w:rsidR="00CF4310" w:rsidRPr="002D7602">
        <w:rPr>
          <w:rFonts w:ascii="Arial" w:hAnsi="Arial" w:cs="Arial"/>
          <w:sz w:val="20"/>
          <w:szCs w:val="20"/>
        </w:rPr>
        <w:t xml:space="preserve"> orçamentária </w:t>
      </w:r>
      <w:r w:rsidR="00CF4310">
        <w:rPr>
          <w:rFonts w:ascii="Arial" w:hAnsi="Arial" w:cs="Arial"/>
          <w:sz w:val="20"/>
          <w:szCs w:val="20"/>
        </w:rPr>
        <w:t>n.º 030102.1751200422.027</w:t>
      </w:r>
      <w:r w:rsidR="00CF4310" w:rsidRPr="009D6482">
        <w:rPr>
          <w:rFonts w:ascii="Arial" w:hAnsi="Arial" w:cs="Arial"/>
          <w:sz w:val="20"/>
          <w:szCs w:val="20"/>
        </w:rPr>
        <w:t xml:space="preserve"> </w:t>
      </w:r>
      <w:r w:rsidR="00CF4310">
        <w:rPr>
          <w:rFonts w:ascii="Arial" w:hAnsi="Arial" w:cs="Arial"/>
          <w:sz w:val="20"/>
          <w:szCs w:val="20"/>
        </w:rPr>
        <w:t>–</w:t>
      </w:r>
      <w:r w:rsidR="00CF4310" w:rsidRPr="009D6482">
        <w:rPr>
          <w:rFonts w:ascii="Arial" w:hAnsi="Arial" w:cs="Arial"/>
          <w:sz w:val="20"/>
          <w:szCs w:val="20"/>
        </w:rPr>
        <w:t xml:space="preserve"> 33903000</w:t>
      </w:r>
      <w:r w:rsidR="00CF4310">
        <w:rPr>
          <w:rFonts w:ascii="Arial" w:hAnsi="Arial" w:cs="Arial"/>
          <w:sz w:val="20"/>
          <w:szCs w:val="20"/>
        </w:rPr>
        <w:t xml:space="preserve"> </w:t>
      </w:r>
      <w:r w:rsidR="00CF4310" w:rsidRPr="009D6482">
        <w:rPr>
          <w:rFonts w:ascii="Arial" w:hAnsi="Arial" w:cs="Arial"/>
          <w:sz w:val="20"/>
          <w:szCs w:val="20"/>
        </w:rPr>
        <w:t>dos orçamentos dos exercícios vigente e subsequente</w:t>
      </w:r>
      <w:r w:rsidR="00CF4310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CF4310" w:rsidRDefault="00CF431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CF4310" w:rsidRDefault="00CF431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CF4310" w:rsidRDefault="00CF4310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CF4310" w:rsidRDefault="00CF4310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039A7" w:rsidRDefault="00E26765" w:rsidP="005039A7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5039A7" w:rsidRDefault="005039A7" w:rsidP="005039A7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039A7" w:rsidRDefault="00E26765" w:rsidP="005039A7">
      <w:pPr>
        <w:pStyle w:val="Corpodetexto3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5039A7" w:rsidRDefault="005039A7" w:rsidP="005039A7">
      <w:pPr>
        <w:pStyle w:val="Corpodetexto3"/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5039A7">
      <w:pPr>
        <w:pStyle w:val="Corpodetexto3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</w:t>
      </w:r>
      <w:r w:rsidRPr="00A00E0F">
        <w:rPr>
          <w:rFonts w:ascii="Arial" w:hAnsi="Arial" w:cs="Arial"/>
          <w:sz w:val="20"/>
          <w:szCs w:val="20"/>
        </w:rPr>
        <w:lastRenderedPageBreak/>
        <w:t>fielmente as cláusulas ora avençadas, bem como as normas previstas na Lei n.°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039A7" w:rsidRDefault="005039A7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Leme, .. de ...................... de 201</w:t>
      </w:r>
      <w:r w:rsidR="007876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Pr="00A00E0F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  <w:r w:rsidR="005039A7">
        <w:rPr>
          <w:rFonts w:ascii="Arial" w:hAnsi="Arial" w:cs="Arial"/>
          <w:sz w:val="20"/>
          <w:szCs w:val="20"/>
        </w:rPr>
        <w:t>_____________________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="005039A7">
        <w:rPr>
          <w:rFonts w:ascii="Arial" w:hAnsi="Arial" w:cs="Arial"/>
          <w:sz w:val="20"/>
          <w:szCs w:val="20"/>
        </w:rPr>
        <w:t xml:space="preserve">                    </w:t>
      </w:r>
      <w:bookmarkStart w:id="0" w:name="_GoBack"/>
      <w:bookmarkEnd w:id="0"/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039A7" w:rsidRDefault="005039A7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1F" w:rsidRDefault="006F3B1F" w:rsidP="005117C6">
      <w:r>
        <w:separator/>
      </w:r>
    </w:p>
  </w:endnote>
  <w:endnote w:type="continuationSeparator" w:id="0">
    <w:p w:rsidR="006F3B1F" w:rsidRDefault="006F3B1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7EC4" w:rsidRPr="005117C6" w:rsidRDefault="002D7EC4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039A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039A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7EC4" w:rsidRDefault="002D7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1F" w:rsidRDefault="006F3B1F" w:rsidP="005117C6">
      <w:r>
        <w:separator/>
      </w:r>
    </w:p>
  </w:footnote>
  <w:footnote w:type="continuationSeparator" w:id="0">
    <w:p w:rsidR="006F3B1F" w:rsidRDefault="006F3B1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0322A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39A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6F3B1F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CF4310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2254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F8811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ADCA-C8F2-42C1-93A8-F7D5FC40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2213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2018-10-25T19:10:00Z</cp:lastPrinted>
  <dcterms:created xsi:type="dcterms:W3CDTF">2018-05-10T12:43:00Z</dcterms:created>
  <dcterms:modified xsi:type="dcterms:W3CDTF">2018-10-26T12:09:00Z</dcterms:modified>
</cp:coreProperties>
</file>