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D04652">
        <w:rPr>
          <w:rFonts w:ascii="Arial" w:hAnsi="Arial" w:cs="Arial"/>
          <w:b/>
          <w:sz w:val="20"/>
          <w:szCs w:val="20"/>
        </w:rPr>
        <w:t>05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D04652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 w:rsidR="00D04652"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 w:rsidR="00D04652"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 w:rsidR="001D3B1D"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="00D04652"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 w:rsidR="00D04652">
        <w:rPr>
          <w:rFonts w:ascii="Arial" w:hAnsi="Arial" w:cs="Arial"/>
          <w:b/>
          <w:sz w:val="20"/>
          <w:szCs w:val="20"/>
        </w:rPr>
        <w:t>Bonfogo</w:t>
      </w:r>
      <w:proofErr w:type="spellEnd"/>
      <w:r w:rsidR="00D04652">
        <w:rPr>
          <w:rFonts w:ascii="Arial" w:hAnsi="Arial" w:cs="Arial"/>
          <w:sz w:val="20"/>
          <w:szCs w:val="20"/>
        </w:rPr>
        <w:t>,</w:t>
      </w:r>
      <w:r w:rsidR="00D04652" w:rsidRPr="00BA7AA6">
        <w:rPr>
          <w:rFonts w:ascii="Arial" w:hAnsi="Arial" w:cs="Arial"/>
          <w:sz w:val="20"/>
          <w:szCs w:val="20"/>
        </w:rPr>
        <w:t xml:space="preserve"> portador do R.G. n.º </w:t>
      </w:r>
      <w:r w:rsidR="00D04652" w:rsidRPr="00674193">
        <w:rPr>
          <w:rFonts w:ascii="Arial" w:hAnsi="Arial" w:cs="Arial"/>
          <w:sz w:val="20"/>
          <w:szCs w:val="20"/>
        </w:rPr>
        <w:t>23.991.946-4 SSP/SP e do CPF</w:t>
      </w:r>
      <w:r w:rsidR="00D04652" w:rsidRPr="00BA7AA6">
        <w:rPr>
          <w:rFonts w:ascii="Arial" w:hAnsi="Arial" w:cs="Arial"/>
          <w:sz w:val="20"/>
          <w:szCs w:val="20"/>
        </w:rPr>
        <w:t xml:space="preserve"> n.º </w:t>
      </w:r>
      <w:r w:rsidR="00D04652"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proofErr w:type="spellStart"/>
      <w:r w:rsidR="00D04652">
        <w:rPr>
          <w:rFonts w:ascii="Arial" w:hAnsi="Arial" w:cs="Arial"/>
          <w:b/>
          <w:sz w:val="20"/>
          <w:szCs w:val="20"/>
        </w:rPr>
        <w:t>Lupy</w:t>
      </w:r>
      <w:proofErr w:type="spellEnd"/>
      <w:r w:rsidR="00D04652">
        <w:rPr>
          <w:rFonts w:ascii="Arial" w:hAnsi="Arial" w:cs="Arial"/>
          <w:b/>
          <w:sz w:val="20"/>
          <w:szCs w:val="20"/>
        </w:rPr>
        <w:t xml:space="preserve"> Brasil Válvulas e Equipamentos </w:t>
      </w:r>
      <w:proofErr w:type="spellStart"/>
      <w:r w:rsidR="00D04652">
        <w:rPr>
          <w:rFonts w:ascii="Arial" w:hAnsi="Arial" w:cs="Arial"/>
          <w:b/>
          <w:sz w:val="20"/>
          <w:szCs w:val="20"/>
        </w:rPr>
        <w:t>Eireli</w:t>
      </w:r>
      <w:proofErr w:type="spellEnd"/>
      <w:r w:rsidR="00D04652">
        <w:rPr>
          <w:rFonts w:ascii="Arial" w:hAnsi="Arial" w:cs="Arial"/>
          <w:b/>
          <w:sz w:val="20"/>
          <w:szCs w:val="20"/>
        </w:rPr>
        <w:t>-EPP</w:t>
      </w:r>
      <w:r w:rsidRPr="0042647A">
        <w:rPr>
          <w:rFonts w:ascii="Arial" w:hAnsi="Arial" w:cs="Arial"/>
          <w:sz w:val="20"/>
          <w:szCs w:val="20"/>
        </w:rPr>
        <w:t xml:space="preserve">, sita à </w:t>
      </w:r>
      <w:r w:rsidR="00D04652">
        <w:rPr>
          <w:rFonts w:ascii="Arial" w:hAnsi="Arial" w:cs="Arial"/>
          <w:sz w:val="20"/>
          <w:szCs w:val="20"/>
        </w:rPr>
        <w:t>Rua Abrahão, n.º 65 – Sala 03, Jardim Santa Izabel</w:t>
      </w:r>
      <w:r w:rsidR="00D04652" w:rsidRPr="0042647A">
        <w:rPr>
          <w:rFonts w:ascii="Arial" w:hAnsi="Arial" w:cs="Arial"/>
          <w:sz w:val="20"/>
          <w:szCs w:val="20"/>
        </w:rPr>
        <w:t>,</w:t>
      </w:r>
      <w:r w:rsidR="00D04652">
        <w:rPr>
          <w:rFonts w:ascii="Arial" w:hAnsi="Arial" w:cs="Arial"/>
          <w:sz w:val="20"/>
          <w:szCs w:val="20"/>
        </w:rPr>
        <w:t xml:space="preserve"> Cotia/SP,</w:t>
      </w:r>
      <w:r w:rsidR="00D04652" w:rsidRPr="0042647A">
        <w:rPr>
          <w:rFonts w:ascii="Arial" w:hAnsi="Arial" w:cs="Arial"/>
          <w:sz w:val="20"/>
          <w:szCs w:val="20"/>
        </w:rPr>
        <w:t xml:space="preserve"> inscrita no CNPJ sob n.º </w:t>
      </w:r>
      <w:r w:rsidR="00D04652">
        <w:rPr>
          <w:rFonts w:ascii="Arial" w:hAnsi="Arial" w:cs="Arial"/>
          <w:sz w:val="20"/>
          <w:szCs w:val="20"/>
        </w:rPr>
        <w:t>26.133.037/0001-81</w:t>
      </w:r>
      <w:r w:rsidR="00D04652" w:rsidRPr="0042647A">
        <w:rPr>
          <w:rFonts w:ascii="Arial" w:hAnsi="Arial" w:cs="Arial"/>
          <w:sz w:val="20"/>
          <w:szCs w:val="20"/>
        </w:rPr>
        <w:t xml:space="preserve"> e Inscrição Estadual n.º </w:t>
      </w:r>
      <w:r w:rsidR="00D04652">
        <w:rPr>
          <w:rFonts w:ascii="Arial" w:hAnsi="Arial" w:cs="Arial"/>
          <w:sz w:val="20"/>
          <w:szCs w:val="20"/>
        </w:rPr>
        <w:t>278.280.458.114</w:t>
      </w:r>
      <w:r w:rsidR="00D04652" w:rsidRPr="0042647A">
        <w:rPr>
          <w:rFonts w:ascii="Arial" w:hAnsi="Arial" w:cs="Arial"/>
          <w:sz w:val="20"/>
          <w:szCs w:val="20"/>
        </w:rPr>
        <w:t>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D04652">
        <w:rPr>
          <w:rFonts w:ascii="Arial" w:hAnsi="Arial" w:cs="Arial"/>
          <w:b/>
          <w:sz w:val="20"/>
          <w:szCs w:val="20"/>
        </w:rPr>
        <w:t xml:space="preserve">Sr. </w:t>
      </w:r>
      <w:proofErr w:type="spellStart"/>
      <w:r w:rsidR="00D04652">
        <w:rPr>
          <w:rFonts w:ascii="Arial" w:hAnsi="Arial" w:cs="Arial"/>
          <w:b/>
          <w:sz w:val="20"/>
          <w:szCs w:val="20"/>
        </w:rPr>
        <w:t>Antonio</w:t>
      </w:r>
      <w:proofErr w:type="spellEnd"/>
      <w:r w:rsidR="00D04652">
        <w:rPr>
          <w:rFonts w:ascii="Arial" w:hAnsi="Arial" w:cs="Arial"/>
          <w:b/>
          <w:sz w:val="20"/>
          <w:szCs w:val="20"/>
        </w:rPr>
        <w:t xml:space="preserve"> Figueiredo Cambuí</w:t>
      </w:r>
      <w:r>
        <w:rPr>
          <w:rFonts w:ascii="Arial" w:hAnsi="Arial" w:cs="Arial"/>
          <w:sz w:val="20"/>
          <w:szCs w:val="20"/>
        </w:rPr>
        <w:t xml:space="preserve">, </w:t>
      </w:r>
      <w:r w:rsidR="00D04652">
        <w:rPr>
          <w:rFonts w:ascii="Arial" w:hAnsi="Arial" w:cs="Arial"/>
          <w:sz w:val="20"/>
          <w:szCs w:val="20"/>
        </w:rPr>
        <w:t>Diretor-Procurador</w:t>
      </w:r>
      <w:r w:rsidRPr="0042647A">
        <w:rPr>
          <w:rFonts w:ascii="Arial" w:hAnsi="Arial" w:cs="Arial"/>
          <w:sz w:val="20"/>
          <w:szCs w:val="20"/>
        </w:rPr>
        <w:t xml:space="preserve">, portador do R.G. n.º </w:t>
      </w:r>
      <w:r w:rsidR="00D04652">
        <w:rPr>
          <w:rFonts w:ascii="Arial" w:hAnsi="Arial" w:cs="Arial"/>
          <w:sz w:val="20"/>
          <w:szCs w:val="20"/>
        </w:rPr>
        <w:t>11.953.987</w:t>
      </w:r>
      <w:r w:rsidRPr="0042647A">
        <w:rPr>
          <w:rFonts w:ascii="Arial" w:hAnsi="Arial" w:cs="Arial"/>
          <w:sz w:val="20"/>
          <w:szCs w:val="20"/>
        </w:rPr>
        <w:t xml:space="preserve"> e CPF n.º </w:t>
      </w:r>
      <w:r w:rsidR="00D04652">
        <w:rPr>
          <w:rFonts w:ascii="Arial" w:hAnsi="Arial" w:cs="Arial"/>
          <w:sz w:val="20"/>
          <w:szCs w:val="20"/>
        </w:rPr>
        <w:t>719.836.511-</w:t>
      </w:r>
      <w:r w:rsidR="00CB661A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D04652"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doravante denominada </w:t>
      </w:r>
      <w:r w:rsidRPr="00D04652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B96DDC">
        <w:rPr>
          <w:rFonts w:ascii="Arial" w:hAnsi="Arial" w:cs="Arial"/>
          <w:sz w:val="20"/>
        </w:rPr>
        <w:t xml:space="preserve"> – Lotes 01 e 02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 – DESCRIÇÃO E QUANTIDADES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50mm, range 60 - 68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100mm, range 108 - 118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150mm, range 162 - 174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trHeight w:val="585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, diâmetro (DN) 200mm, range 210 - 223mm, comprimento de 300mm.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350mm, range 365 - 385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400mm, range 400 - 429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</w:tbl>
    <w:p w:rsidR="007B5E36" w:rsidRPr="009D139C" w:rsidRDefault="007B5E36" w:rsidP="007B5E3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2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çadeira de vedação tripartida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adeira de vedação tripartida 75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200mm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250mm de ferro fundido com borracha vulcanizada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307344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</w:t>
      </w:r>
      <w:proofErr w:type="gramStart"/>
      <w:r w:rsidRPr="00B37D5B">
        <w:rPr>
          <w:rFonts w:ascii="Arial" w:hAnsi="Arial" w:cs="Arial"/>
          <w:sz w:val="20"/>
          <w:szCs w:val="20"/>
        </w:rPr>
        <w:t>do(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BE68E0">
        <w:rPr>
          <w:rFonts w:ascii="Arial" w:hAnsi="Arial" w:cs="Arial"/>
          <w:sz w:val="20"/>
          <w:szCs w:val="20"/>
        </w:rPr>
        <w:t>Os</w:t>
      </w:r>
      <w:proofErr w:type="gramEnd"/>
      <w:r w:rsidRPr="00BE68E0">
        <w:rPr>
          <w:rFonts w:ascii="Arial" w:hAnsi="Arial" w:cs="Arial"/>
          <w:sz w:val="20"/>
          <w:szCs w:val="20"/>
        </w:rPr>
        <w:t xml:space="preserve">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</w:t>
      </w:r>
      <w:proofErr w:type="gramStart"/>
      <w:r w:rsidR="00631911" w:rsidRPr="009D139C">
        <w:rPr>
          <w:rFonts w:ascii="Arial" w:hAnsi="Arial" w:cs="Arial"/>
          <w:sz w:val="20"/>
          <w:szCs w:val="20"/>
        </w:rPr>
        <w:t>n.º</w:t>
      </w:r>
      <w:proofErr w:type="gramEnd"/>
      <w:r w:rsidR="00631911" w:rsidRPr="009D139C">
        <w:rPr>
          <w:rFonts w:ascii="Arial" w:hAnsi="Arial" w:cs="Arial"/>
          <w:sz w:val="20"/>
          <w:szCs w:val="20"/>
        </w:rPr>
        <w:t xml:space="preserve"> 971, Centro – Leme/SP,</w:t>
      </w:r>
      <w:r w:rsidR="00631911">
        <w:rPr>
          <w:rFonts w:ascii="Arial" w:hAnsi="Arial" w:cs="Arial"/>
          <w:sz w:val="20"/>
          <w:szCs w:val="20"/>
        </w:rPr>
        <w:t xml:space="preserve"> </w:t>
      </w:r>
      <w:r w:rsidR="00631911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proofErr w:type="gramStart"/>
      <w:r w:rsidRPr="00BF65C1">
        <w:rPr>
          <w:rFonts w:ascii="Arial" w:hAnsi="Arial" w:cs="Arial"/>
          <w:sz w:val="20"/>
          <w:szCs w:val="20"/>
        </w:rPr>
        <w:t>) Durante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BF65C1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A66CF6" w:rsidRDefault="00A66CF6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609"/>
        <w:gridCol w:w="679"/>
        <w:gridCol w:w="4620"/>
        <w:gridCol w:w="1134"/>
        <w:gridCol w:w="1411"/>
      </w:tblGrid>
      <w:tr w:rsidR="004A2DC7" w:rsidRPr="004A2DC7" w:rsidTr="004C255E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lastRenderedPageBreak/>
              <w:t>LOTE 1 – DESCRIÇÃO E QUANTIDADES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2DC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4A2DC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, diâmetro (DN) 50mm, range 60 - 68mm, comprimento de 300mm.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310,08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6.201,60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, diâmetro (DN) 100mm, range 108 - 118mm, comprimento de 300mm.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436,47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6.547,05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, diâmetro (DN) 150mm, range 162 - 174mm, comprimento de 300mm.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487,39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4.873,90</w:t>
            </w:r>
          </w:p>
        </w:tc>
      </w:tr>
      <w:tr w:rsidR="004A2DC7" w:rsidRPr="004A2DC7" w:rsidTr="004A2DC7">
        <w:trPr>
          <w:trHeight w:val="585"/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4A2DC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, diâmetro (DN) 200mm, range 210 - 223mm, comprimento de 300mm.  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628,34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6.283,40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4A2DC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, diâmetro (DN) 350mm, range 365 - 385mm, comprimento de 300mm.  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1.030,28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4.121,12</w:t>
            </w:r>
          </w:p>
        </w:tc>
      </w:tr>
      <w:tr w:rsidR="004A2DC7" w:rsidRPr="004A2DC7" w:rsidTr="004A2DC7">
        <w:trPr>
          <w:jc w:val="center"/>
        </w:trPr>
        <w:tc>
          <w:tcPr>
            <w:tcW w:w="608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0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9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20" w:type="dxa"/>
            <w:vAlign w:val="center"/>
          </w:tcPr>
          <w:p w:rsidR="004A2DC7" w:rsidRPr="004A2DC7" w:rsidRDefault="004A2DC7" w:rsidP="004A2DC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4A2DC7">
              <w:rPr>
                <w:rFonts w:ascii="Arial" w:eastAsia="Times New Roman" w:hAnsi="Arial" w:cs="Arial"/>
                <w:sz w:val="16"/>
                <w:szCs w:val="16"/>
              </w:rPr>
              <w:t xml:space="preserve">, diâmetro (DN) 400mm, range 400 - 429mm, comprimento de 300mm.  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1.162,12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6.972,72</w:t>
            </w:r>
          </w:p>
        </w:tc>
      </w:tr>
      <w:tr w:rsidR="004A2DC7" w:rsidRPr="004A2DC7" w:rsidTr="004A2DC7">
        <w:trPr>
          <w:jc w:val="center"/>
        </w:trPr>
        <w:tc>
          <w:tcPr>
            <w:tcW w:w="7650" w:type="dxa"/>
            <w:gridSpan w:val="5"/>
            <w:vAlign w:val="center"/>
          </w:tcPr>
          <w:p w:rsidR="004A2DC7" w:rsidRPr="004A2DC7" w:rsidRDefault="004A2DC7" w:rsidP="00135A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VALOR </w:t>
            </w:r>
            <w:r w:rsidR="00135A76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DO LOTE 01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Pr="004A2DC7">
              <w:rPr>
                <w:rFonts w:ascii="Arial" w:eastAsia="Times New Roman" w:hAnsi="Arial" w:cs="Arial"/>
                <w:b/>
                <w:sz w:val="16"/>
                <w:szCs w:val="16"/>
              </w:rPr>
              <w:t>34.999,79</w:t>
            </w:r>
          </w:p>
        </w:tc>
      </w:tr>
    </w:tbl>
    <w:p w:rsidR="004A2DC7" w:rsidRPr="009D139C" w:rsidRDefault="004A2DC7" w:rsidP="004A2DC7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605"/>
        <w:gridCol w:w="675"/>
        <w:gridCol w:w="4632"/>
        <w:gridCol w:w="1134"/>
        <w:gridCol w:w="1411"/>
      </w:tblGrid>
      <w:tr w:rsidR="004A2DC7" w:rsidRPr="004A2DC7" w:rsidTr="0022729C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 xml:space="preserve">LOTE 2 – DESCRIÇÃO E QUANTIDADES </w:t>
            </w:r>
          </w:p>
        </w:tc>
      </w:tr>
      <w:tr w:rsidR="004A2DC7" w:rsidRPr="004A2DC7" w:rsidTr="00135A76">
        <w:trPr>
          <w:jc w:val="center"/>
        </w:trPr>
        <w:tc>
          <w:tcPr>
            <w:tcW w:w="60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5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2DC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4A2DC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5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632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4A2DC7" w:rsidRPr="004A2DC7" w:rsidRDefault="004A2DC7" w:rsidP="004A2D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4A2DC7" w:rsidRPr="004A2DC7" w:rsidTr="00135A76">
        <w:trPr>
          <w:jc w:val="center"/>
        </w:trPr>
        <w:tc>
          <w:tcPr>
            <w:tcW w:w="604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32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Abraçadeira de vedação tripartida 50mm de ferro fundido com borracha vulcanizada</w:t>
            </w:r>
          </w:p>
        </w:tc>
        <w:tc>
          <w:tcPr>
            <w:tcW w:w="1134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215,32</w:t>
            </w:r>
          </w:p>
        </w:tc>
        <w:tc>
          <w:tcPr>
            <w:tcW w:w="1411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2.153,20</w:t>
            </w:r>
          </w:p>
        </w:tc>
      </w:tr>
      <w:tr w:rsidR="004A2DC7" w:rsidRPr="004A2DC7" w:rsidTr="00135A76">
        <w:trPr>
          <w:jc w:val="center"/>
        </w:trPr>
        <w:tc>
          <w:tcPr>
            <w:tcW w:w="604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32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Abraçadeira de vedação tripartida 75mm de ferro fundido com borracha vulcanizada</w:t>
            </w:r>
          </w:p>
        </w:tc>
        <w:tc>
          <w:tcPr>
            <w:tcW w:w="1134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257,09</w:t>
            </w:r>
          </w:p>
        </w:tc>
        <w:tc>
          <w:tcPr>
            <w:tcW w:w="1411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1.542,54</w:t>
            </w:r>
          </w:p>
        </w:tc>
      </w:tr>
      <w:tr w:rsidR="004A2DC7" w:rsidRPr="004A2DC7" w:rsidTr="00135A76">
        <w:trPr>
          <w:jc w:val="center"/>
        </w:trPr>
        <w:tc>
          <w:tcPr>
            <w:tcW w:w="604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32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Abraçadeira de vedação tripartida 200mm de ferro fundido com borracha vulcanizada</w:t>
            </w:r>
          </w:p>
        </w:tc>
        <w:tc>
          <w:tcPr>
            <w:tcW w:w="1134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839,02</w:t>
            </w:r>
          </w:p>
        </w:tc>
        <w:tc>
          <w:tcPr>
            <w:tcW w:w="1411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5.034,12</w:t>
            </w:r>
          </w:p>
        </w:tc>
      </w:tr>
      <w:tr w:rsidR="004A2DC7" w:rsidRPr="004A2DC7" w:rsidTr="00135A76">
        <w:trPr>
          <w:jc w:val="center"/>
        </w:trPr>
        <w:tc>
          <w:tcPr>
            <w:tcW w:w="604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vAlign w:val="center"/>
          </w:tcPr>
          <w:p w:rsidR="004A2DC7" w:rsidRPr="004A2DC7" w:rsidRDefault="004A2DC7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632" w:type="dxa"/>
            <w:vAlign w:val="center"/>
          </w:tcPr>
          <w:p w:rsidR="004A2DC7" w:rsidRPr="004A2DC7" w:rsidRDefault="004A2DC7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A2DC7">
              <w:rPr>
                <w:rFonts w:ascii="Arial" w:eastAsia="Times New Roman" w:hAnsi="Arial" w:cs="Arial"/>
                <w:sz w:val="16"/>
                <w:szCs w:val="16"/>
              </w:rPr>
              <w:t>Abraçadeira de vedação tripartida 250mm de ferro fundido com borracha vulcanizada</w:t>
            </w:r>
          </w:p>
        </w:tc>
        <w:tc>
          <w:tcPr>
            <w:tcW w:w="1134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1.627,00</w:t>
            </w:r>
          </w:p>
        </w:tc>
        <w:tc>
          <w:tcPr>
            <w:tcW w:w="1411" w:type="dxa"/>
            <w:vAlign w:val="center"/>
          </w:tcPr>
          <w:p w:rsidR="004A2DC7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16.270,00</w:t>
            </w:r>
          </w:p>
        </w:tc>
      </w:tr>
      <w:tr w:rsidR="00135A76" w:rsidRPr="004A2DC7" w:rsidTr="00571228">
        <w:trPr>
          <w:jc w:val="center"/>
        </w:trPr>
        <w:tc>
          <w:tcPr>
            <w:tcW w:w="7650" w:type="dxa"/>
            <w:gridSpan w:val="5"/>
            <w:vAlign w:val="center"/>
          </w:tcPr>
          <w:p w:rsidR="00135A76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02</w:t>
            </w:r>
          </w:p>
        </w:tc>
        <w:tc>
          <w:tcPr>
            <w:tcW w:w="1411" w:type="dxa"/>
            <w:vAlign w:val="center"/>
          </w:tcPr>
          <w:p w:rsidR="00135A76" w:rsidRPr="004A2DC7" w:rsidRDefault="00135A76" w:rsidP="00135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R$ 24</w:t>
            </w:r>
            <w:r w:rsidRPr="004A2DC7">
              <w:rPr>
                <w:rFonts w:ascii="Arial" w:eastAsia="Times New Roman" w:hAnsi="Arial" w:cs="Arial"/>
                <w:b/>
                <w:sz w:val="16"/>
                <w:szCs w:val="16"/>
              </w:rPr>
              <w:t>.999,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86</w:t>
            </w:r>
          </w:p>
        </w:tc>
      </w:tr>
    </w:tbl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135A76" w:rsidRPr="00135A76" w:rsidRDefault="00135A76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>: R$ 59.999,65 (cinquenta e nove mil, novecentos e noventa e nove reais e sessenta e cinco centavos).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135A76" w:rsidRDefault="00135A76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135A76" w:rsidRDefault="00135A7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135A76" w:rsidRDefault="00135A7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</w:t>
      </w:r>
      <w:proofErr w:type="gramEnd"/>
      <w:r w:rsidR="003E5333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lastRenderedPageBreak/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A66CF6" w:rsidRDefault="00A66CF6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</w:t>
      </w:r>
      <w:proofErr w:type="gramStart"/>
      <w:r w:rsidRPr="00942765">
        <w:rPr>
          <w:rFonts w:ascii="Arial" w:hAnsi="Arial" w:cs="Arial"/>
          <w:sz w:val="20"/>
          <w:szCs w:val="20"/>
        </w:rPr>
        <w:t>) Todo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proofErr w:type="gramStart"/>
      <w:r w:rsidRPr="00942765">
        <w:rPr>
          <w:rFonts w:ascii="Arial" w:hAnsi="Arial" w:cs="Arial"/>
          <w:sz w:val="20"/>
          <w:szCs w:val="20"/>
        </w:rPr>
        <w:t>) 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7.1</w:t>
      </w:r>
      <w:proofErr w:type="gramStart"/>
      <w:r w:rsidRPr="002F1832">
        <w:rPr>
          <w:rFonts w:ascii="Arial" w:hAnsi="Arial" w:cs="Arial"/>
          <w:sz w:val="20"/>
          <w:szCs w:val="20"/>
        </w:rPr>
        <w:t>) Por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A66CF6" w:rsidRDefault="00A66CF6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Manter</w:t>
      </w:r>
      <w:proofErr w:type="gramEnd"/>
      <w:r w:rsidRPr="002F1832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 Comprovar</w:t>
      </w:r>
      <w:proofErr w:type="gramEnd"/>
      <w:r w:rsidRPr="002F1832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lastRenderedPageBreak/>
        <w:t>III) Indicar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IV) Desenvolver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V) Prestar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7.5</w:t>
      </w:r>
      <w:proofErr w:type="gramStart"/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Efetuar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</w:t>
      </w:r>
      <w:proofErr w:type="gramEnd"/>
      <w:r w:rsidR="00E26765" w:rsidRPr="002F1832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6733" w:rsidRPr="002F1832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</w:t>
      </w:r>
      <w:r w:rsidR="00135A76">
        <w:rPr>
          <w:rFonts w:ascii="Arial" w:hAnsi="Arial" w:cs="Arial"/>
          <w:sz w:val="20"/>
          <w:szCs w:val="20"/>
        </w:rPr>
        <w:t>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 xml:space="preserve">As despesas decorrentes da execução do objeto da presente </w:t>
      </w:r>
      <w:r w:rsidR="00135A76">
        <w:rPr>
          <w:rFonts w:ascii="Arial" w:hAnsi="Arial" w:cs="Arial"/>
          <w:sz w:val="20"/>
          <w:szCs w:val="20"/>
        </w:rPr>
        <w:t>ata</w:t>
      </w:r>
      <w:r w:rsidR="002F1832" w:rsidRPr="002D7602">
        <w:rPr>
          <w:rFonts w:ascii="Arial" w:hAnsi="Arial" w:cs="Arial"/>
          <w:sz w:val="20"/>
          <w:szCs w:val="20"/>
        </w:rPr>
        <w:t xml:space="preserve"> correrão por conta da dotaç</w:t>
      </w:r>
      <w:r w:rsidR="00135A76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proofErr w:type="gramStart"/>
      <w:r w:rsidR="007876EC">
        <w:rPr>
          <w:rFonts w:ascii="Arial" w:hAnsi="Arial" w:cs="Arial"/>
          <w:sz w:val="20"/>
          <w:szCs w:val="20"/>
        </w:rPr>
        <w:t>n.º</w:t>
      </w:r>
      <w:proofErr w:type="gramEnd"/>
      <w:r w:rsidR="007876EC">
        <w:rPr>
          <w:rFonts w:ascii="Arial" w:hAnsi="Arial" w:cs="Arial"/>
          <w:sz w:val="20"/>
          <w:szCs w:val="20"/>
        </w:rPr>
        <w:t xml:space="preserve"> 030102.1751200422.027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F47670" w:rsidRDefault="00F47670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lastRenderedPageBreak/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 w:rsidR="00F47670">
        <w:rPr>
          <w:rFonts w:ascii="Arial" w:hAnsi="Arial" w:cs="Arial"/>
          <w:sz w:val="20"/>
          <w:szCs w:val="20"/>
        </w:rPr>
        <w:t>2</w:t>
      </w:r>
      <w:r w:rsidR="00D10712">
        <w:rPr>
          <w:rFonts w:ascii="Arial" w:hAnsi="Arial" w:cs="Arial"/>
          <w:sz w:val="20"/>
          <w:szCs w:val="20"/>
        </w:rPr>
        <w:t>9</w:t>
      </w:r>
      <w:r w:rsidRPr="00A00E0F">
        <w:rPr>
          <w:rFonts w:ascii="Arial" w:hAnsi="Arial" w:cs="Arial"/>
          <w:sz w:val="20"/>
          <w:szCs w:val="20"/>
        </w:rPr>
        <w:t xml:space="preserve"> de </w:t>
      </w:r>
      <w:r w:rsidR="00F47670"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 w:rsidR="007876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Pr="00A00E0F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  <w:r w:rsidR="00A66CF6">
        <w:rPr>
          <w:rFonts w:ascii="Arial" w:hAnsi="Arial" w:cs="Arial"/>
          <w:sz w:val="20"/>
          <w:szCs w:val="20"/>
        </w:rPr>
        <w:t>_______________</w:t>
      </w: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 w:rsidR="00966733"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</w:p>
    <w:p w:rsidR="00966733" w:rsidRPr="00A00E0F" w:rsidRDefault="00A66CF6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966733"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Lupy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Brasil Válvulas e Equipamentos </w:t>
      </w:r>
      <w:proofErr w:type="spellStart"/>
      <w:r>
        <w:rPr>
          <w:rFonts w:ascii="Arial" w:hAnsi="Arial" w:cs="Arial"/>
          <w:b/>
          <w:sz w:val="20"/>
          <w:szCs w:val="20"/>
        </w:rPr>
        <w:t>Eireli</w:t>
      </w:r>
      <w:proofErr w:type="spellEnd"/>
      <w:r>
        <w:rPr>
          <w:rFonts w:ascii="Arial" w:hAnsi="Arial" w:cs="Arial"/>
          <w:b/>
          <w:sz w:val="20"/>
          <w:szCs w:val="20"/>
        </w:rPr>
        <w:t>-EPP</w:t>
      </w: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Default="00A66CF6" w:rsidP="00A66C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Pr="00A66CF6">
        <w:rPr>
          <w:rFonts w:ascii="Arial" w:hAnsi="Arial" w:cs="Arial"/>
          <w:sz w:val="20"/>
          <w:szCs w:val="20"/>
        </w:rPr>
        <w:t>Antonio</w:t>
      </w:r>
      <w:proofErr w:type="spellEnd"/>
      <w:r w:rsidRPr="00A66CF6">
        <w:rPr>
          <w:rFonts w:ascii="Arial" w:hAnsi="Arial" w:cs="Arial"/>
          <w:sz w:val="20"/>
          <w:szCs w:val="20"/>
        </w:rPr>
        <w:t xml:space="preserve"> Figueiredo Cambuí</w:t>
      </w:r>
    </w:p>
    <w:p w:rsidR="00A66CF6" w:rsidRPr="00A66CF6" w:rsidRDefault="00A66CF6" w:rsidP="00A66C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Diretor-Procurador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66CF6" w:rsidRDefault="00A66CF6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BB" w:rsidRDefault="00AB74BB" w:rsidP="005117C6">
      <w:r>
        <w:separator/>
      </w:r>
    </w:p>
  </w:endnote>
  <w:endnote w:type="continuationSeparator" w:id="0">
    <w:p w:rsidR="00AB74BB" w:rsidRDefault="00AB74B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4652" w:rsidRPr="005117C6" w:rsidRDefault="00D04652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B661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B661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4652" w:rsidRDefault="00D046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BB" w:rsidRDefault="00AB74BB" w:rsidP="005117C6">
      <w:r>
        <w:separator/>
      </w:r>
    </w:p>
  </w:footnote>
  <w:footnote w:type="continuationSeparator" w:id="0">
    <w:p w:rsidR="00AB74BB" w:rsidRDefault="00AB74B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06AF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5A76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07344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2DC7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CF6"/>
    <w:rsid w:val="00A672C3"/>
    <w:rsid w:val="00A83073"/>
    <w:rsid w:val="00A83323"/>
    <w:rsid w:val="00A96178"/>
    <w:rsid w:val="00AA11AC"/>
    <w:rsid w:val="00AB74BB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6DDC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B661A"/>
    <w:rsid w:val="00CC3C35"/>
    <w:rsid w:val="00CE37BA"/>
    <w:rsid w:val="00CE6678"/>
    <w:rsid w:val="00CF1D0D"/>
    <w:rsid w:val="00D04652"/>
    <w:rsid w:val="00D10712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47670"/>
    <w:rsid w:val="00F50F6E"/>
    <w:rsid w:val="00F653F9"/>
    <w:rsid w:val="00F769BE"/>
    <w:rsid w:val="00F8530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3F3C1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86D6-9EE8-4ED4-8797-A0A742FA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2610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2018-06-27T16:06:00Z</cp:lastPrinted>
  <dcterms:created xsi:type="dcterms:W3CDTF">2018-06-25T13:21:00Z</dcterms:created>
  <dcterms:modified xsi:type="dcterms:W3CDTF">2018-06-27T16:06:00Z</dcterms:modified>
</cp:coreProperties>
</file>