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9" w:rsidRDefault="00872199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7A0191" w:rsidRPr="00713B00" w:rsidRDefault="007A0191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TERMO DE REFERÊNCIA</w:t>
      </w: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1. OBJETO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8E2C42" w:rsidRDefault="007A0191" w:rsidP="008E2C42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42">
        <w:rPr>
          <w:rFonts w:ascii="Arial" w:hAnsi="Arial" w:cs="Arial"/>
          <w:sz w:val="20"/>
          <w:szCs w:val="20"/>
        </w:rPr>
        <w:t>O presente Termo d</w:t>
      </w:r>
      <w:r w:rsidR="00650D02" w:rsidRPr="008E2C42">
        <w:rPr>
          <w:rFonts w:ascii="Arial" w:hAnsi="Arial" w:cs="Arial"/>
          <w:sz w:val="20"/>
          <w:szCs w:val="20"/>
        </w:rPr>
        <w:t xml:space="preserve">e Referência tem por objeto </w:t>
      </w:r>
      <w:r w:rsidR="007546C9" w:rsidRPr="008E2C42">
        <w:rPr>
          <w:rFonts w:ascii="Arial" w:hAnsi="Arial" w:cs="Arial"/>
          <w:sz w:val="20"/>
          <w:szCs w:val="20"/>
        </w:rPr>
        <w:t>a</w:t>
      </w:r>
      <w:r w:rsidR="00650D02" w:rsidRPr="008E2C42">
        <w:rPr>
          <w:rFonts w:ascii="Arial" w:hAnsi="Arial" w:cs="Arial"/>
          <w:sz w:val="20"/>
          <w:szCs w:val="20"/>
        </w:rPr>
        <w:t xml:space="preserve"> aquisição </w:t>
      </w:r>
      <w:r w:rsidRPr="008E2C42">
        <w:rPr>
          <w:rFonts w:ascii="Arial" w:hAnsi="Arial" w:cs="Arial"/>
          <w:sz w:val="20"/>
          <w:szCs w:val="20"/>
        </w:rPr>
        <w:t xml:space="preserve">de </w:t>
      </w:r>
      <w:r w:rsidR="00996982" w:rsidRPr="008E2C42">
        <w:rPr>
          <w:rFonts w:ascii="Arial" w:hAnsi="Arial" w:cs="Arial"/>
          <w:sz w:val="20"/>
          <w:szCs w:val="20"/>
        </w:rPr>
        <w:t>materiais</w:t>
      </w:r>
      <w:r w:rsidR="00226CBE" w:rsidRPr="008E2C42">
        <w:rPr>
          <w:rFonts w:ascii="Arial" w:hAnsi="Arial" w:cs="Arial"/>
          <w:sz w:val="20"/>
          <w:szCs w:val="20"/>
        </w:rPr>
        <w:t xml:space="preserve"> como tubos de concreto para construção de galer</w:t>
      </w:r>
      <w:r w:rsidR="00996982" w:rsidRPr="008E2C42">
        <w:rPr>
          <w:rFonts w:ascii="Arial" w:hAnsi="Arial" w:cs="Arial"/>
          <w:sz w:val="20"/>
          <w:szCs w:val="20"/>
        </w:rPr>
        <w:t>ias de á</w:t>
      </w:r>
      <w:r w:rsidR="00226CBE" w:rsidRPr="008E2C42">
        <w:rPr>
          <w:rFonts w:ascii="Arial" w:hAnsi="Arial" w:cs="Arial"/>
          <w:sz w:val="20"/>
          <w:szCs w:val="20"/>
        </w:rPr>
        <w:t>guas pluviais.</w:t>
      </w:r>
    </w:p>
    <w:p w:rsidR="008E2C42" w:rsidRDefault="008E2C42" w:rsidP="008E2C42">
      <w:pPr>
        <w:pStyle w:val="PargrafodaLista"/>
        <w:spacing w:after="0" w:line="240" w:lineRule="auto"/>
        <w:ind w:left="390"/>
        <w:jc w:val="both"/>
        <w:rPr>
          <w:rFonts w:ascii="Arial" w:hAnsi="Arial" w:cs="Arial"/>
          <w:sz w:val="20"/>
          <w:szCs w:val="20"/>
        </w:rPr>
      </w:pPr>
    </w:p>
    <w:p w:rsidR="007D49F2" w:rsidRPr="0039326A" w:rsidRDefault="007D49F2" w:rsidP="0039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1" w:rsidRPr="00713B00" w:rsidRDefault="004322B4" w:rsidP="007546C9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Quantitativos</w:t>
      </w:r>
      <w:r w:rsidR="007A0191" w:rsidRPr="00713B00">
        <w:rPr>
          <w:rFonts w:ascii="Arial" w:hAnsi="Arial" w:cs="Arial"/>
          <w:sz w:val="20"/>
          <w:szCs w:val="20"/>
        </w:rPr>
        <w:t xml:space="preserve"> abaixo: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822"/>
        <w:gridCol w:w="850"/>
        <w:gridCol w:w="729"/>
        <w:gridCol w:w="1494"/>
      </w:tblGrid>
      <w:tr w:rsidR="00F16A2F" w:rsidRPr="00713B00" w:rsidTr="00F16A2F">
        <w:trPr>
          <w:jc w:val="center"/>
        </w:trPr>
        <w:tc>
          <w:tcPr>
            <w:tcW w:w="628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22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729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494" w:type="dxa"/>
          </w:tcPr>
          <w:p w:rsidR="00F16A2F" w:rsidRPr="00F16A2F" w:rsidRDefault="00F16A2F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F16A2F" w:rsidRPr="00713B00" w:rsidTr="00F16A2F">
        <w:trPr>
          <w:jc w:val="center"/>
        </w:trPr>
        <w:tc>
          <w:tcPr>
            <w:tcW w:w="628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2" w:type="dxa"/>
            <w:vAlign w:val="center"/>
          </w:tcPr>
          <w:p w:rsidR="00F16A2F" w:rsidRPr="00713B00" w:rsidRDefault="00F16A2F" w:rsidP="00E24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Tubo de concreto armado 1,5m (PA1) diam. 400mm para águas pluviais, </w:t>
            </w:r>
            <w:r>
              <w:t>ABNT NBR 8890/2007</w:t>
            </w:r>
          </w:p>
        </w:tc>
        <w:tc>
          <w:tcPr>
            <w:tcW w:w="850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729" w:type="dxa"/>
            <w:vAlign w:val="center"/>
          </w:tcPr>
          <w:p w:rsidR="00F16A2F" w:rsidRPr="00713B00" w:rsidRDefault="00F16A2F" w:rsidP="008E2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2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94" w:type="dxa"/>
          </w:tcPr>
          <w:p w:rsidR="00F16A2F" w:rsidRDefault="00F16A2F" w:rsidP="00F1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6A2F" w:rsidRDefault="00F16A2F" w:rsidP="00F1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R$ 60,98</w:t>
            </w:r>
          </w:p>
        </w:tc>
      </w:tr>
      <w:tr w:rsidR="00F16A2F" w:rsidRPr="00713B00" w:rsidTr="00F16A2F">
        <w:trPr>
          <w:jc w:val="center"/>
        </w:trPr>
        <w:tc>
          <w:tcPr>
            <w:tcW w:w="628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2" w:type="dxa"/>
            <w:vAlign w:val="center"/>
          </w:tcPr>
          <w:p w:rsidR="00F16A2F" w:rsidRPr="00713B00" w:rsidRDefault="00F16A2F" w:rsidP="0075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Tubo de concreto armado 1,5 m (PA1) diam. 600mm para águas pluviais, </w:t>
            </w:r>
            <w:r>
              <w:t>ABNT NBR 8890/2007</w:t>
            </w:r>
          </w:p>
        </w:tc>
        <w:tc>
          <w:tcPr>
            <w:tcW w:w="850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729" w:type="dxa"/>
            <w:vAlign w:val="center"/>
          </w:tcPr>
          <w:p w:rsidR="00F16A2F" w:rsidRPr="00713B00" w:rsidRDefault="00F16A2F" w:rsidP="001E6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2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94" w:type="dxa"/>
          </w:tcPr>
          <w:p w:rsidR="00F16A2F" w:rsidRDefault="00F16A2F" w:rsidP="00F1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6A2F" w:rsidRDefault="00F16A2F" w:rsidP="00F1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R$ 98,83</w:t>
            </w:r>
          </w:p>
        </w:tc>
      </w:tr>
      <w:tr w:rsidR="00F16A2F" w:rsidRPr="00713B00" w:rsidTr="00F16A2F">
        <w:trPr>
          <w:jc w:val="center"/>
        </w:trPr>
        <w:tc>
          <w:tcPr>
            <w:tcW w:w="628" w:type="dxa"/>
            <w:vAlign w:val="center"/>
          </w:tcPr>
          <w:p w:rsidR="00F16A2F" w:rsidRPr="00713B00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:rsidR="00F16A2F" w:rsidRPr="00F16A2F" w:rsidRDefault="00F16A2F" w:rsidP="007546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Align w:val="center"/>
          </w:tcPr>
          <w:p w:rsidR="00F16A2F" w:rsidRDefault="00F16A2F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16A2F" w:rsidRDefault="00F16A2F" w:rsidP="001E6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:rsidR="00F16A2F" w:rsidRDefault="00F16A2F" w:rsidP="00F1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R$ 50.415,81</w:t>
            </w:r>
          </w:p>
        </w:tc>
      </w:tr>
    </w:tbl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 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2C42" w:rsidRPr="00713B00" w:rsidRDefault="008E2C42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 JUSTIFICATIVA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2.1.</w:t>
      </w:r>
      <w:r w:rsidR="00BB3046" w:rsidRPr="00713B00">
        <w:rPr>
          <w:rFonts w:ascii="Arial" w:hAnsi="Arial" w:cs="Arial"/>
          <w:sz w:val="20"/>
          <w:szCs w:val="20"/>
        </w:rPr>
        <w:t xml:space="preserve"> </w:t>
      </w:r>
      <w:r w:rsidR="00463E9E" w:rsidRPr="00713B00">
        <w:rPr>
          <w:rFonts w:ascii="Arial" w:hAnsi="Arial" w:cs="Arial"/>
          <w:sz w:val="20"/>
          <w:szCs w:val="20"/>
        </w:rPr>
        <w:t xml:space="preserve"> </w:t>
      </w:r>
      <w:r w:rsidR="007D49F2" w:rsidRPr="00713B00">
        <w:rPr>
          <w:rFonts w:ascii="Arial" w:hAnsi="Arial" w:cs="Arial"/>
          <w:sz w:val="20"/>
          <w:szCs w:val="20"/>
        </w:rPr>
        <w:t xml:space="preserve">Para uso da Divisão Técnica Operacional desta Autarquia, compreendendo </w:t>
      </w:r>
      <w:r w:rsidR="00226CBE">
        <w:rPr>
          <w:rFonts w:ascii="Arial" w:hAnsi="Arial" w:cs="Arial"/>
          <w:sz w:val="20"/>
          <w:szCs w:val="20"/>
        </w:rPr>
        <w:t>construção e melhoria do sistema de Galerias de Água Pluviais, como redes e ramais, em</w:t>
      </w:r>
      <w:r w:rsidR="007D49F2" w:rsidRPr="00713B00">
        <w:rPr>
          <w:rFonts w:ascii="Arial" w:hAnsi="Arial" w:cs="Arial"/>
          <w:sz w:val="20"/>
          <w:szCs w:val="20"/>
        </w:rPr>
        <w:t xml:space="preserve"> diversos locais deste município. 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FF3" w:rsidRPr="00996982" w:rsidRDefault="008E0FF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6982">
        <w:rPr>
          <w:rFonts w:ascii="Arial" w:hAnsi="Arial" w:cs="Arial"/>
          <w:b/>
          <w:sz w:val="20"/>
          <w:szCs w:val="20"/>
        </w:rPr>
        <w:t xml:space="preserve">3. </w:t>
      </w:r>
      <w:r w:rsidR="004322B4" w:rsidRPr="00996982">
        <w:rPr>
          <w:rFonts w:ascii="Arial" w:hAnsi="Arial" w:cs="Arial"/>
          <w:b/>
          <w:sz w:val="20"/>
          <w:szCs w:val="20"/>
        </w:rPr>
        <w:t>Inspeções e Ensaios</w:t>
      </w:r>
      <w:r w:rsidR="00996982">
        <w:rPr>
          <w:rFonts w:ascii="Arial" w:hAnsi="Arial" w:cs="Arial"/>
          <w:b/>
          <w:sz w:val="20"/>
          <w:szCs w:val="20"/>
        </w:rPr>
        <w:t xml:space="preserve"> - </w:t>
      </w:r>
      <w:r w:rsidR="00996982" w:rsidRPr="00996982">
        <w:rPr>
          <w:rFonts w:ascii="Arial" w:hAnsi="Arial" w:cs="Arial"/>
          <w:sz w:val="20"/>
          <w:szCs w:val="20"/>
        </w:rPr>
        <w:t>ABNT NBR 15645/2008</w:t>
      </w:r>
    </w:p>
    <w:p w:rsidR="008E0FF3" w:rsidRPr="00996982" w:rsidRDefault="008E0FF3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 xml:space="preserve">3.1. - Os tubos deverão ser ensaiados segundo as especificações da Norma citada no item 1.1, em laboratórios Comerciais ou no Laboratório da própria fábrica, desde que um destes </w:t>
      </w:r>
      <w:r w:rsidR="00F04A8A" w:rsidRPr="00996982">
        <w:rPr>
          <w:rFonts w:ascii="Arial" w:hAnsi="Arial" w:cs="Arial"/>
          <w:sz w:val="20"/>
          <w:szCs w:val="20"/>
        </w:rPr>
        <w:t>possua</w:t>
      </w:r>
      <w:r w:rsidRPr="00996982">
        <w:rPr>
          <w:rFonts w:ascii="Arial" w:hAnsi="Arial" w:cs="Arial"/>
          <w:sz w:val="20"/>
          <w:szCs w:val="20"/>
        </w:rPr>
        <w:t xml:space="preserve"> equipamentos credenciados ou rastreados pelo INMETRO, em presença do inspetor do comprador ou órgão/empresa por ele escolhido e as despesas decorrentes, serão de responsabilidade da Fornecedora dos tubos;</w:t>
      </w: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>3.2 - Os bens encomendados estarão sujeitos a inspeção e demais analises de qualidade por parte do Saecil ou órgão/empresa por nos escolhido, a qualquer tempo antes, durante e após a fabricação;</w:t>
      </w: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 xml:space="preserve"> I) Serão de responsabilidade do Comprador somente as despesas com o inspetor que decorrerem de inspeções de lotes de bens efetivamente liberados para entrega;</w:t>
      </w:r>
    </w:p>
    <w:p w:rsidR="00A26034" w:rsidRPr="00996982" w:rsidRDefault="004322B4" w:rsidP="007546C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996982">
        <w:rPr>
          <w:rFonts w:ascii="Arial" w:hAnsi="Arial" w:cs="Arial"/>
          <w:sz w:val="20"/>
          <w:szCs w:val="20"/>
        </w:rPr>
        <w:t xml:space="preserve"> II) Toda e qualquer despesa de inspeção não atribuível à esse titulo, será de responsabilidade da Fornecedora.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2C42" w:rsidRDefault="008E2C42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</w:t>
      </w:r>
      <w:r w:rsidR="007A0191" w:rsidRPr="00713B00">
        <w:rPr>
          <w:rFonts w:ascii="Arial" w:hAnsi="Arial" w:cs="Arial"/>
          <w:b/>
          <w:sz w:val="20"/>
          <w:szCs w:val="20"/>
        </w:rPr>
        <w:t>.</w:t>
      </w:r>
      <w:r w:rsidR="00303B88" w:rsidRPr="00713B00">
        <w:rPr>
          <w:rFonts w:ascii="Arial" w:hAnsi="Arial" w:cs="Arial"/>
          <w:b/>
          <w:sz w:val="20"/>
          <w:szCs w:val="20"/>
        </w:rPr>
        <w:t xml:space="preserve"> DO</w:t>
      </w:r>
      <w:r w:rsidR="007A0191" w:rsidRPr="00713B00">
        <w:rPr>
          <w:rFonts w:ascii="Arial" w:hAnsi="Arial" w:cs="Arial"/>
          <w:b/>
          <w:sz w:val="20"/>
          <w:szCs w:val="20"/>
        </w:rPr>
        <w:t xml:space="preserve"> PRAZO </w:t>
      </w:r>
    </w:p>
    <w:p w:rsidR="00D92FCE" w:rsidRPr="00713B00" w:rsidRDefault="00D92FCE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4.1.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A entrega dos materiais deverá ser efetuada no prazo de até </w:t>
      </w:r>
      <w:r w:rsidR="00551F77" w:rsidRPr="0039326A">
        <w:rPr>
          <w:rFonts w:ascii="Arial" w:hAnsi="Arial" w:cs="Arial"/>
          <w:sz w:val="20"/>
          <w:szCs w:val="20"/>
        </w:rPr>
        <w:t>10 (dez</w:t>
      </w:r>
      <w:r w:rsidR="00303B88" w:rsidRPr="0039326A">
        <w:rPr>
          <w:rFonts w:ascii="Arial" w:hAnsi="Arial" w:cs="Arial"/>
          <w:sz w:val="20"/>
          <w:szCs w:val="20"/>
        </w:rPr>
        <w:t>)</w:t>
      </w:r>
      <w:r w:rsidR="00303B88" w:rsidRPr="00551F77">
        <w:rPr>
          <w:rFonts w:ascii="Arial" w:hAnsi="Arial" w:cs="Arial"/>
          <w:sz w:val="20"/>
          <w:szCs w:val="20"/>
        </w:rPr>
        <w:t xml:space="preserve"> dias após a </w:t>
      </w:r>
      <w:r w:rsidR="008E2C42">
        <w:rPr>
          <w:rFonts w:ascii="Arial" w:hAnsi="Arial" w:cs="Arial"/>
          <w:sz w:val="20"/>
          <w:szCs w:val="20"/>
        </w:rPr>
        <w:t>emissão do pedido de fornecimento pela Saecil</w:t>
      </w:r>
      <w:r w:rsidR="00303B88" w:rsidRPr="00713B00">
        <w:rPr>
          <w:rFonts w:ascii="Arial" w:hAnsi="Arial" w:cs="Arial"/>
          <w:sz w:val="20"/>
          <w:szCs w:val="20"/>
        </w:rPr>
        <w:t>, correndo por conta do fornecedor todas as despesas com transporte e descarga</w:t>
      </w:r>
      <w:r w:rsidR="008E2C42">
        <w:rPr>
          <w:rFonts w:ascii="Arial" w:hAnsi="Arial" w:cs="Arial"/>
          <w:sz w:val="20"/>
          <w:szCs w:val="20"/>
        </w:rPr>
        <w:t>.</w:t>
      </w:r>
    </w:p>
    <w:p w:rsidR="00E70A23" w:rsidRPr="00713B00" w:rsidRDefault="00E70A2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B7F52" w:rsidRPr="00713B00" w:rsidRDefault="007B7F5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</w:t>
      </w:r>
      <w:r w:rsidR="00303B88" w:rsidRPr="00713B00">
        <w:rPr>
          <w:rFonts w:ascii="Arial" w:hAnsi="Arial" w:cs="Arial"/>
          <w:b/>
          <w:sz w:val="20"/>
          <w:szCs w:val="20"/>
        </w:rPr>
        <w:t>. DA ENTREGA E DO</w:t>
      </w:r>
      <w:r w:rsidR="00E70A23" w:rsidRPr="00713B00">
        <w:rPr>
          <w:rFonts w:ascii="Arial" w:hAnsi="Arial" w:cs="Arial"/>
          <w:b/>
          <w:sz w:val="20"/>
          <w:szCs w:val="20"/>
        </w:rPr>
        <w:t xml:space="preserve"> RECEBIMENTO</w:t>
      </w:r>
    </w:p>
    <w:p w:rsidR="008A29AC" w:rsidRPr="00713B00" w:rsidRDefault="008A29AC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5.1.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>Os materiais deverão ser entregues</w:t>
      </w:r>
      <w:r w:rsidR="00404E3B">
        <w:rPr>
          <w:rFonts w:ascii="Arial" w:hAnsi="Arial" w:cs="Arial"/>
          <w:sz w:val="20"/>
          <w:szCs w:val="20"/>
        </w:rPr>
        <w:t xml:space="preserve"> na</w:t>
      </w:r>
      <w:r w:rsidR="005B1935">
        <w:rPr>
          <w:rFonts w:ascii="Arial" w:hAnsi="Arial" w:cs="Arial"/>
          <w:sz w:val="20"/>
          <w:szCs w:val="20"/>
        </w:rPr>
        <w:t xml:space="preserve"> ETE ( Estação de Tratamento de Esgotos)</w:t>
      </w:r>
      <w:r w:rsidR="0039326A">
        <w:rPr>
          <w:rFonts w:ascii="Arial" w:hAnsi="Arial" w:cs="Arial"/>
          <w:sz w:val="20"/>
          <w:szCs w:val="20"/>
        </w:rPr>
        <w:t xml:space="preserve">, localizado à </w:t>
      </w:r>
      <w:r w:rsidR="005B1935">
        <w:rPr>
          <w:rFonts w:ascii="Arial" w:hAnsi="Arial" w:cs="Arial"/>
          <w:sz w:val="20"/>
          <w:szCs w:val="20"/>
        </w:rPr>
        <w:t>Estrada Municipal Jose de Souza Queiroz Filho</w:t>
      </w:r>
      <w:r w:rsidR="0039326A">
        <w:rPr>
          <w:rFonts w:ascii="Arial" w:hAnsi="Arial" w:cs="Arial"/>
          <w:sz w:val="20"/>
          <w:szCs w:val="20"/>
        </w:rPr>
        <w:t>,</w:t>
      </w:r>
      <w:r w:rsidR="00303B88" w:rsidRPr="00713B00">
        <w:rPr>
          <w:rFonts w:ascii="Arial" w:hAnsi="Arial" w:cs="Arial"/>
          <w:sz w:val="20"/>
          <w:szCs w:val="20"/>
        </w:rPr>
        <w:t xml:space="preserve"> </w:t>
      </w:r>
      <w:r w:rsidR="0039326A">
        <w:rPr>
          <w:rFonts w:ascii="Arial" w:hAnsi="Arial" w:cs="Arial"/>
          <w:sz w:val="20"/>
          <w:szCs w:val="20"/>
        </w:rPr>
        <w:t xml:space="preserve">Leme/SP </w:t>
      </w:r>
      <w:r w:rsidR="00303B88" w:rsidRPr="00713B00">
        <w:rPr>
          <w:rFonts w:ascii="Arial" w:hAnsi="Arial" w:cs="Arial"/>
          <w:sz w:val="20"/>
          <w:szCs w:val="20"/>
        </w:rPr>
        <w:t>da forma constante no objeto deste Edital, correndo todas as despesas e riscos até o momento da entrega por conta do fornecedor</w:t>
      </w:r>
      <w:r w:rsidR="007546C9">
        <w:rPr>
          <w:rFonts w:ascii="Arial" w:hAnsi="Arial" w:cs="Arial"/>
          <w:sz w:val="20"/>
          <w:szCs w:val="20"/>
        </w:rPr>
        <w:t>.</w:t>
      </w:r>
    </w:p>
    <w:p w:rsidR="00404E3B" w:rsidRPr="00713B00" w:rsidRDefault="00404E3B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lastRenderedPageBreak/>
        <w:t>5.2.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>Os materiais serão recebidos provisoriamente, no ato da entrega, para efeito de verificação; definitivamente, após a verificação da quantidade e qualidade, e se estiver de acordo com a especificação do objeto requisitado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5.3.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O(s) servidor(es) responsável(is) pelo recebimento do objeto, após o seu recebimento definitivo, encaminhará o documento hábil para aprovação da autoridade competente, que o encaminhará para pagamento. </w:t>
      </w: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</w:rPr>
      </w:pP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CONTRATADA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D2687" w:rsidRPr="007D268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87"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 w:rsidRPr="007D2687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7AA0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="007D2687">
        <w:rPr>
          <w:rFonts w:ascii="Arial" w:hAnsi="Arial" w:cs="Arial"/>
          <w:b/>
          <w:sz w:val="20"/>
          <w:szCs w:val="20"/>
        </w:rPr>
        <w:t>2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>Efetuar a entrega do objeto co</w:t>
      </w:r>
      <w:r w:rsidR="008C7AA0" w:rsidRPr="00713B00">
        <w:rPr>
          <w:rFonts w:ascii="Arial" w:hAnsi="Arial" w:cs="Arial"/>
          <w:sz w:val="20"/>
          <w:szCs w:val="20"/>
        </w:rPr>
        <w:t>m as características exigidas neste</w:t>
      </w:r>
      <w:r w:rsidR="00303B88" w:rsidRPr="00713B00">
        <w:rPr>
          <w:rFonts w:ascii="Arial" w:hAnsi="Arial" w:cs="Arial"/>
          <w:sz w:val="20"/>
          <w:szCs w:val="20"/>
        </w:rPr>
        <w:t xml:space="preserve"> </w:t>
      </w:r>
      <w:r w:rsidR="008C7AA0" w:rsidRPr="00713B00">
        <w:rPr>
          <w:rFonts w:ascii="Arial" w:hAnsi="Arial" w:cs="Arial"/>
          <w:sz w:val="20"/>
          <w:szCs w:val="20"/>
        </w:rPr>
        <w:t>Termo de Referência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="007D2687">
        <w:rPr>
          <w:rFonts w:ascii="Arial" w:hAnsi="Arial" w:cs="Arial"/>
          <w:b/>
          <w:sz w:val="20"/>
          <w:szCs w:val="20"/>
        </w:rPr>
        <w:t>3</w:t>
      </w:r>
      <w:r w:rsidRPr="00713B00">
        <w:rPr>
          <w:rFonts w:ascii="Arial" w:hAnsi="Arial" w:cs="Arial"/>
          <w:b/>
          <w:sz w:val="20"/>
          <w:szCs w:val="20"/>
        </w:rPr>
        <w:t>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>A C</w:t>
      </w:r>
      <w:r w:rsidR="007546C9" w:rsidRPr="00713B00">
        <w:rPr>
          <w:rFonts w:ascii="Arial" w:hAnsi="Arial" w:cs="Arial"/>
          <w:sz w:val="20"/>
          <w:szCs w:val="20"/>
        </w:rPr>
        <w:t>ontratada</w:t>
      </w:r>
      <w:r w:rsidR="00303B88" w:rsidRPr="00713B00">
        <w:rPr>
          <w:rFonts w:ascii="Arial" w:hAnsi="Arial" w:cs="Arial"/>
          <w:sz w:val="20"/>
          <w:szCs w:val="20"/>
        </w:rPr>
        <w:t xml:space="preserve"> será responsável pelos danos causados à SAECIL ou a terceiros d</w:t>
      </w:r>
      <w:r w:rsidR="007546C9">
        <w:rPr>
          <w:rFonts w:ascii="Arial" w:hAnsi="Arial" w:cs="Arial"/>
          <w:sz w:val="20"/>
          <w:szCs w:val="20"/>
        </w:rPr>
        <w:t>ecorrentes de sua culpa ou dolo.</w:t>
      </w:r>
    </w:p>
    <w:p w:rsidR="007546C9" w:rsidRPr="00713B00" w:rsidRDefault="007546C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b/>
          <w:sz w:val="20"/>
          <w:szCs w:val="20"/>
        </w:rPr>
        <w:t>DAS OBRIGAÇÕES DA CONTRATANTE</w:t>
      </w:r>
    </w:p>
    <w:p w:rsidR="00B57438" w:rsidRPr="00713B00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7.1.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>Efetuar os pagamentos devidos de acor</w:t>
      </w:r>
      <w:r w:rsidR="007D2687">
        <w:rPr>
          <w:rFonts w:ascii="Arial" w:hAnsi="Arial" w:cs="Arial"/>
          <w:sz w:val="20"/>
          <w:szCs w:val="20"/>
        </w:rPr>
        <w:t>do com o estipulado no contrato.</w:t>
      </w: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713B00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7.2. </w:t>
      </w:r>
      <w:r w:rsidR="00303B88" w:rsidRPr="00713B00">
        <w:rPr>
          <w:rFonts w:ascii="Arial" w:hAnsi="Arial" w:cs="Arial"/>
          <w:sz w:val="20"/>
          <w:szCs w:val="20"/>
        </w:rPr>
        <w:t>Sustar quaisquer materiais entr</w:t>
      </w:r>
      <w:r>
        <w:rPr>
          <w:rFonts w:ascii="Arial" w:hAnsi="Arial" w:cs="Arial"/>
          <w:sz w:val="20"/>
          <w:szCs w:val="20"/>
        </w:rPr>
        <w:t>egues em desacordo com o objeto.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8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713B00">
        <w:rPr>
          <w:rFonts w:ascii="Arial" w:hAnsi="Arial" w:cs="Arial"/>
          <w:b/>
          <w:sz w:val="20"/>
          <w:szCs w:val="20"/>
        </w:rPr>
        <w:t>C</w:t>
      </w:r>
      <w:r w:rsidR="00927FF2" w:rsidRPr="00713B00">
        <w:rPr>
          <w:rFonts w:ascii="Arial" w:hAnsi="Arial" w:cs="Arial"/>
          <w:b/>
          <w:sz w:val="20"/>
          <w:szCs w:val="20"/>
        </w:rPr>
        <w:t>ALIZAÇÃO</w:t>
      </w:r>
    </w:p>
    <w:p w:rsidR="00B57438" w:rsidRPr="00713B00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713B00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927FF2"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</w:t>
      </w: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 será acompanhada e fiscalizada em todos os seus termos, por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cabendo ao mesmo conferir os materiais, podendo rejeitá-los quando estes não atenderem ao especificado.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713B00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927FF2"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</w:t>
      </w:r>
      <w:r w:rsidRPr="00713B00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</w:t>
      </w:r>
      <w:r w:rsidR="007D268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5A454E" w:rsidRPr="00713B00" w:rsidRDefault="005A454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713B00" w:rsidRDefault="00713B0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 xml:space="preserve">DO </w:t>
      </w:r>
      <w:r w:rsidR="007B7F52" w:rsidRPr="00713B00">
        <w:rPr>
          <w:rFonts w:ascii="Arial" w:hAnsi="Arial" w:cs="Arial"/>
          <w:b/>
          <w:sz w:val="20"/>
          <w:szCs w:val="20"/>
        </w:rPr>
        <w:t>PAGAMENTO</w:t>
      </w:r>
      <w:r w:rsidR="008C7AA0" w:rsidRPr="00713B00">
        <w:rPr>
          <w:rFonts w:ascii="Arial" w:hAnsi="Arial" w:cs="Arial"/>
          <w:b/>
          <w:sz w:val="20"/>
          <w:szCs w:val="20"/>
        </w:rPr>
        <w:t xml:space="preserve"> </w:t>
      </w:r>
    </w:p>
    <w:p w:rsidR="00B57438" w:rsidRPr="00713B00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9.1.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O pagamento será efetuado em até </w:t>
      </w:r>
      <w:r w:rsidR="007D2687">
        <w:rPr>
          <w:rFonts w:ascii="Arial" w:hAnsi="Arial" w:cs="Arial"/>
          <w:sz w:val="20"/>
          <w:szCs w:val="20"/>
        </w:rPr>
        <w:t>30</w:t>
      </w:r>
      <w:r w:rsidR="00303B88" w:rsidRPr="00713B00">
        <w:rPr>
          <w:rFonts w:ascii="Arial" w:hAnsi="Arial" w:cs="Arial"/>
          <w:sz w:val="20"/>
          <w:szCs w:val="20"/>
        </w:rPr>
        <w:t xml:space="preserve"> (</w:t>
      </w:r>
      <w:r w:rsidR="007D2687">
        <w:rPr>
          <w:rFonts w:ascii="Arial" w:hAnsi="Arial" w:cs="Arial"/>
          <w:sz w:val="20"/>
          <w:szCs w:val="20"/>
        </w:rPr>
        <w:t>trinta</w:t>
      </w:r>
      <w:r w:rsidR="00303B88" w:rsidRPr="00713B00">
        <w:rPr>
          <w:rFonts w:ascii="Arial" w:hAnsi="Arial" w:cs="Arial"/>
          <w:sz w:val="20"/>
          <w:szCs w:val="20"/>
        </w:rPr>
        <w:t>) dias após o recebimento e aceitação d</w:t>
      </w:r>
      <w:r w:rsidR="008E2C42">
        <w:rPr>
          <w:rFonts w:ascii="Arial" w:hAnsi="Arial" w:cs="Arial"/>
          <w:sz w:val="20"/>
          <w:szCs w:val="20"/>
        </w:rPr>
        <w:t>a</w:t>
      </w:r>
      <w:r w:rsidR="00303B88" w:rsidRPr="00713B00">
        <w:rPr>
          <w:rFonts w:ascii="Arial" w:hAnsi="Arial" w:cs="Arial"/>
          <w:sz w:val="20"/>
          <w:szCs w:val="20"/>
        </w:rPr>
        <w:t xml:space="preserve"> fatura</w:t>
      </w:r>
      <w:r w:rsidR="008E2C42">
        <w:rPr>
          <w:rFonts w:ascii="Arial" w:hAnsi="Arial" w:cs="Arial"/>
          <w:sz w:val="20"/>
          <w:szCs w:val="20"/>
        </w:rPr>
        <w:t>.</w:t>
      </w:r>
    </w:p>
    <w:p w:rsidR="00996982" w:rsidRDefault="00996982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EE9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10. DISPOSIÇÕES FINAIS</w:t>
      </w:r>
    </w:p>
    <w:p w:rsidR="007D2687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7D268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10.1.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7D268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8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5A454E" w:rsidRDefault="005A454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11EE9" w:rsidRPr="0069314F" w:rsidRDefault="00B11EE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Leme</w:t>
      </w:r>
      <w:r w:rsidR="005A454E" w:rsidRPr="00713B00">
        <w:rPr>
          <w:rFonts w:ascii="Arial" w:hAnsi="Arial" w:cs="Arial"/>
          <w:sz w:val="20"/>
          <w:szCs w:val="20"/>
        </w:rPr>
        <w:t xml:space="preserve">, </w:t>
      </w:r>
      <w:r w:rsidR="00E32DD7">
        <w:rPr>
          <w:rFonts w:ascii="Arial" w:hAnsi="Arial" w:cs="Arial"/>
          <w:sz w:val="20"/>
          <w:szCs w:val="20"/>
        </w:rPr>
        <w:t>16</w:t>
      </w:r>
      <w:r w:rsidR="003161A3">
        <w:rPr>
          <w:rFonts w:ascii="Arial" w:hAnsi="Arial" w:cs="Arial"/>
          <w:sz w:val="20"/>
          <w:szCs w:val="20"/>
        </w:rPr>
        <w:t xml:space="preserve"> de</w:t>
      </w:r>
      <w:r w:rsidR="00E32DD7">
        <w:rPr>
          <w:rFonts w:ascii="Arial" w:hAnsi="Arial" w:cs="Arial"/>
          <w:sz w:val="20"/>
          <w:szCs w:val="20"/>
        </w:rPr>
        <w:t xml:space="preserve"> abril</w:t>
      </w:r>
      <w:bookmarkStart w:id="0" w:name="_GoBack"/>
      <w:bookmarkEnd w:id="0"/>
      <w:r w:rsidR="00FB249A">
        <w:rPr>
          <w:rFonts w:ascii="Arial" w:hAnsi="Arial" w:cs="Arial"/>
          <w:sz w:val="20"/>
          <w:szCs w:val="20"/>
        </w:rPr>
        <w:t xml:space="preserve"> de 2018</w:t>
      </w:r>
      <w:r w:rsidR="005A454E" w:rsidRPr="00713B00">
        <w:rPr>
          <w:rFonts w:ascii="Arial" w:hAnsi="Arial" w:cs="Arial"/>
          <w:sz w:val="20"/>
          <w:szCs w:val="20"/>
        </w:rPr>
        <w:t>.</w:t>
      </w:r>
    </w:p>
    <w:p w:rsidR="00D40879" w:rsidRDefault="00D40879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E3B" w:rsidRDefault="00404E3B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E3B" w:rsidRDefault="00404E3B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687" w:rsidRPr="00713B00" w:rsidRDefault="007D268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___________________________________</w:t>
      </w: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Adilson José de Godoi</w:t>
      </w:r>
    </w:p>
    <w:p w:rsidR="00392C05" w:rsidRPr="00D92FCE" w:rsidRDefault="007A0191" w:rsidP="00B638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Divisão Técnica Operacional</w:t>
      </w:r>
    </w:p>
    <w:sectPr w:rsidR="00392C05" w:rsidRPr="00D92FCE" w:rsidSect="00404E3B">
      <w:footerReference w:type="default" r:id="rId7"/>
      <w:pgSz w:w="11906" w:h="16838" w:code="9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1B" w:rsidRDefault="007F281B" w:rsidP="00E151BD">
      <w:pPr>
        <w:spacing w:after="0" w:line="240" w:lineRule="auto"/>
      </w:pPr>
      <w:r>
        <w:separator/>
      </w:r>
    </w:p>
  </w:endnote>
  <w:endnote w:type="continuationSeparator" w:id="0">
    <w:p w:rsidR="007F281B" w:rsidRDefault="007F281B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1B" w:rsidRDefault="007F281B" w:rsidP="00E151BD">
      <w:pPr>
        <w:spacing w:after="0" w:line="240" w:lineRule="auto"/>
      </w:pPr>
      <w:r>
        <w:separator/>
      </w:r>
    </w:p>
  </w:footnote>
  <w:footnote w:type="continuationSeparator" w:id="0">
    <w:p w:rsidR="007F281B" w:rsidRDefault="007F281B" w:rsidP="00E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41B2"/>
    <w:multiLevelType w:val="multilevel"/>
    <w:tmpl w:val="11A2F8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BFF651C"/>
    <w:multiLevelType w:val="multilevel"/>
    <w:tmpl w:val="84F40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91"/>
    <w:rsid w:val="00022256"/>
    <w:rsid w:val="0004545E"/>
    <w:rsid w:val="000F7949"/>
    <w:rsid w:val="001E4692"/>
    <w:rsid w:val="001E6FC3"/>
    <w:rsid w:val="00226CBE"/>
    <w:rsid w:val="0024624C"/>
    <w:rsid w:val="00265D90"/>
    <w:rsid w:val="002879CB"/>
    <w:rsid w:val="00293D56"/>
    <w:rsid w:val="00303B88"/>
    <w:rsid w:val="00313F4F"/>
    <w:rsid w:val="003161A3"/>
    <w:rsid w:val="00392C05"/>
    <w:rsid w:val="0039326A"/>
    <w:rsid w:val="003C0FCF"/>
    <w:rsid w:val="00404E3B"/>
    <w:rsid w:val="00425766"/>
    <w:rsid w:val="00425D35"/>
    <w:rsid w:val="004322B4"/>
    <w:rsid w:val="00434A27"/>
    <w:rsid w:val="00463E9E"/>
    <w:rsid w:val="00485F27"/>
    <w:rsid w:val="004C091F"/>
    <w:rsid w:val="004D19D4"/>
    <w:rsid w:val="004D5E6B"/>
    <w:rsid w:val="004E28A9"/>
    <w:rsid w:val="00533FEA"/>
    <w:rsid w:val="00551F77"/>
    <w:rsid w:val="00591DB8"/>
    <w:rsid w:val="0059630E"/>
    <w:rsid w:val="005A454E"/>
    <w:rsid w:val="005B1935"/>
    <w:rsid w:val="005D00A7"/>
    <w:rsid w:val="005F1BE4"/>
    <w:rsid w:val="00636FED"/>
    <w:rsid w:val="00650D02"/>
    <w:rsid w:val="0069314F"/>
    <w:rsid w:val="00713B00"/>
    <w:rsid w:val="007539C7"/>
    <w:rsid w:val="007546C9"/>
    <w:rsid w:val="00763E8E"/>
    <w:rsid w:val="00797E8E"/>
    <w:rsid w:val="007A0191"/>
    <w:rsid w:val="007B31E2"/>
    <w:rsid w:val="007B7F52"/>
    <w:rsid w:val="007C1EF3"/>
    <w:rsid w:val="007C568A"/>
    <w:rsid w:val="007D2687"/>
    <w:rsid w:val="007D49F2"/>
    <w:rsid w:val="007F281B"/>
    <w:rsid w:val="00821830"/>
    <w:rsid w:val="0085402F"/>
    <w:rsid w:val="00872199"/>
    <w:rsid w:val="008824ED"/>
    <w:rsid w:val="008A29AC"/>
    <w:rsid w:val="008C7AA0"/>
    <w:rsid w:val="008E0FF3"/>
    <w:rsid w:val="008E2C42"/>
    <w:rsid w:val="008F38C0"/>
    <w:rsid w:val="00924099"/>
    <w:rsid w:val="009250A4"/>
    <w:rsid w:val="00927FF2"/>
    <w:rsid w:val="0093653E"/>
    <w:rsid w:val="00945571"/>
    <w:rsid w:val="00967862"/>
    <w:rsid w:val="00996982"/>
    <w:rsid w:val="00A26034"/>
    <w:rsid w:val="00A60B7A"/>
    <w:rsid w:val="00A62408"/>
    <w:rsid w:val="00A66ABC"/>
    <w:rsid w:val="00A96A62"/>
    <w:rsid w:val="00AA2EDB"/>
    <w:rsid w:val="00B11EE9"/>
    <w:rsid w:val="00B12FFB"/>
    <w:rsid w:val="00B37B2A"/>
    <w:rsid w:val="00B4441F"/>
    <w:rsid w:val="00B57438"/>
    <w:rsid w:val="00B63809"/>
    <w:rsid w:val="00BB24F3"/>
    <w:rsid w:val="00BB3046"/>
    <w:rsid w:val="00BB38E4"/>
    <w:rsid w:val="00BB6FD0"/>
    <w:rsid w:val="00C23EA0"/>
    <w:rsid w:val="00C2433A"/>
    <w:rsid w:val="00C25563"/>
    <w:rsid w:val="00C863B5"/>
    <w:rsid w:val="00CC13A7"/>
    <w:rsid w:val="00CD10C0"/>
    <w:rsid w:val="00CF0A0F"/>
    <w:rsid w:val="00D11FDD"/>
    <w:rsid w:val="00D40879"/>
    <w:rsid w:val="00D75F57"/>
    <w:rsid w:val="00D76A38"/>
    <w:rsid w:val="00D92FCE"/>
    <w:rsid w:val="00E151BD"/>
    <w:rsid w:val="00E24358"/>
    <w:rsid w:val="00E32DD7"/>
    <w:rsid w:val="00E70A23"/>
    <w:rsid w:val="00EB35A8"/>
    <w:rsid w:val="00F04A8A"/>
    <w:rsid w:val="00F06DA8"/>
    <w:rsid w:val="00F15037"/>
    <w:rsid w:val="00F16A2F"/>
    <w:rsid w:val="00F953D5"/>
    <w:rsid w:val="00FB249A"/>
    <w:rsid w:val="00FB47FF"/>
    <w:rsid w:val="00FC2466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31BE"/>
  <w15:docId w15:val="{8E9DAABA-F00E-42E5-995D-93726D0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C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2</cp:revision>
  <cp:lastPrinted>2018-04-11T12:42:00Z</cp:lastPrinted>
  <dcterms:created xsi:type="dcterms:W3CDTF">2018-04-17T18:12:00Z</dcterms:created>
  <dcterms:modified xsi:type="dcterms:W3CDTF">2018-04-17T18:12:00Z</dcterms:modified>
</cp:coreProperties>
</file>