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9E" w:rsidRPr="008A579E" w:rsidRDefault="008A579E" w:rsidP="008A579E">
      <w:pPr>
        <w:pStyle w:val="SemEspaamento"/>
        <w:jc w:val="both"/>
        <w:rPr>
          <w:rFonts w:ascii="Arial" w:hAnsi="Arial" w:cs="Arial"/>
          <w:b/>
        </w:rPr>
      </w:pPr>
    </w:p>
    <w:p w:rsidR="008A579E" w:rsidRPr="008A579E" w:rsidRDefault="008A579E" w:rsidP="008A579E">
      <w:pPr>
        <w:pStyle w:val="SemEspaamento"/>
        <w:jc w:val="center"/>
        <w:rPr>
          <w:rFonts w:ascii="Arial" w:hAnsi="Arial" w:cs="Arial"/>
          <w:b/>
        </w:rPr>
      </w:pPr>
      <w:r w:rsidRPr="008A579E">
        <w:rPr>
          <w:rFonts w:ascii="Arial" w:hAnsi="Arial" w:cs="Arial"/>
          <w:b/>
        </w:rPr>
        <w:t>ANEXO I</w:t>
      </w:r>
    </w:p>
    <w:p w:rsidR="008A579E" w:rsidRPr="008A579E" w:rsidRDefault="008A579E" w:rsidP="008A579E">
      <w:pPr>
        <w:pStyle w:val="SemEspaamento"/>
        <w:jc w:val="center"/>
        <w:rPr>
          <w:rFonts w:ascii="Arial" w:hAnsi="Arial" w:cs="Arial"/>
          <w:b/>
        </w:rPr>
      </w:pPr>
    </w:p>
    <w:p w:rsidR="002159E4" w:rsidRPr="008A579E" w:rsidRDefault="00647FCC" w:rsidP="008A579E">
      <w:pPr>
        <w:pStyle w:val="SemEspaamento"/>
        <w:jc w:val="center"/>
        <w:rPr>
          <w:rFonts w:ascii="Arial" w:hAnsi="Arial" w:cs="Arial"/>
          <w:b/>
        </w:rPr>
      </w:pPr>
      <w:r w:rsidRPr="008A579E">
        <w:rPr>
          <w:rFonts w:ascii="Arial" w:hAnsi="Arial" w:cs="Arial"/>
          <w:b/>
        </w:rPr>
        <w:t>TERMO DE REFERÊNCIA</w:t>
      </w:r>
    </w:p>
    <w:p w:rsidR="00863074" w:rsidRPr="008A579E" w:rsidRDefault="00863074" w:rsidP="008A579E">
      <w:pPr>
        <w:pStyle w:val="SemEspaamento"/>
        <w:jc w:val="both"/>
        <w:rPr>
          <w:rFonts w:ascii="Arial" w:hAnsi="Arial" w:cs="Arial"/>
          <w:b/>
        </w:rPr>
      </w:pPr>
    </w:p>
    <w:p w:rsidR="008A579E" w:rsidRDefault="008A579E" w:rsidP="008A57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40749" w:rsidRPr="008A579E" w:rsidRDefault="008A579E" w:rsidP="008A57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647FCC" w:rsidRPr="008A579E">
        <w:rPr>
          <w:rFonts w:ascii="Arial" w:hAnsi="Arial" w:cs="Arial"/>
          <w:b/>
          <w:sz w:val="20"/>
          <w:szCs w:val="20"/>
        </w:rPr>
        <w:t>OBJETO</w:t>
      </w:r>
    </w:p>
    <w:p w:rsidR="008A579E" w:rsidRPr="008A579E" w:rsidRDefault="008A579E" w:rsidP="008A57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40749" w:rsidRPr="008A579E" w:rsidRDefault="00647FCC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 xml:space="preserve">Aquisição de </w:t>
      </w:r>
      <w:r w:rsidR="002A135A" w:rsidRPr="008A579E">
        <w:rPr>
          <w:rFonts w:ascii="Arial" w:hAnsi="Arial" w:cs="Arial"/>
          <w:sz w:val="20"/>
          <w:szCs w:val="20"/>
        </w:rPr>
        <w:t>1.</w:t>
      </w:r>
      <w:r w:rsidR="00E149BB" w:rsidRPr="008A579E">
        <w:rPr>
          <w:rFonts w:ascii="Arial" w:hAnsi="Arial" w:cs="Arial"/>
          <w:sz w:val="20"/>
          <w:szCs w:val="20"/>
        </w:rPr>
        <w:t>300</w:t>
      </w:r>
      <w:r w:rsidR="00847843" w:rsidRPr="008A579E">
        <w:rPr>
          <w:rFonts w:ascii="Arial" w:hAnsi="Arial" w:cs="Arial"/>
          <w:sz w:val="20"/>
          <w:szCs w:val="20"/>
        </w:rPr>
        <w:t xml:space="preserve"> (</w:t>
      </w:r>
      <w:r w:rsidR="00E149BB" w:rsidRPr="008A579E">
        <w:rPr>
          <w:rFonts w:ascii="Arial" w:hAnsi="Arial" w:cs="Arial"/>
          <w:sz w:val="20"/>
          <w:szCs w:val="20"/>
        </w:rPr>
        <w:t xml:space="preserve">um </w:t>
      </w:r>
      <w:r w:rsidR="002A135A" w:rsidRPr="008A579E">
        <w:rPr>
          <w:rFonts w:ascii="Arial" w:hAnsi="Arial" w:cs="Arial"/>
          <w:sz w:val="20"/>
          <w:szCs w:val="20"/>
        </w:rPr>
        <w:t>mil</w:t>
      </w:r>
      <w:r w:rsidR="00E149BB" w:rsidRPr="008A579E">
        <w:rPr>
          <w:rFonts w:ascii="Arial" w:hAnsi="Arial" w:cs="Arial"/>
          <w:sz w:val="20"/>
          <w:szCs w:val="20"/>
        </w:rPr>
        <w:t xml:space="preserve"> e trezentas</w:t>
      </w:r>
      <w:r w:rsidR="00F96BFE" w:rsidRPr="008A579E">
        <w:rPr>
          <w:rFonts w:ascii="Arial" w:hAnsi="Arial" w:cs="Arial"/>
          <w:sz w:val="20"/>
          <w:szCs w:val="20"/>
        </w:rPr>
        <w:t>) toneladas</w:t>
      </w:r>
      <w:r w:rsidR="00F72F87" w:rsidRPr="008A579E">
        <w:rPr>
          <w:rFonts w:ascii="Arial" w:hAnsi="Arial" w:cs="Arial"/>
          <w:sz w:val="20"/>
          <w:szCs w:val="20"/>
        </w:rPr>
        <w:t xml:space="preserve"> de</w:t>
      </w:r>
      <w:r w:rsidR="002A135A" w:rsidRPr="008A579E">
        <w:rPr>
          <w:rFonts w:ascii="Arial" w:hAnsi="Arial" w:cs="Arial"/>
          <w:sz w:val="20"/>
          <w:szCs w:val="20"/>
        </w:rPr>
        <w:t xml:space="preserve"> Sulfato de Alumínio Líquido à 50% isento de </w:t>
      </w:r>
      <w:r w:rsidR="008A579E" w:rsidRPr="008A579E">
        <w:rPr>
          <w:rFonts w:ascii="Arial" w:hAnsi="Arial" w:cs="Arial"/>
          <w:sz w:val="20"/>
          <w:szCs w:val="20"/>
        </w:rPr>
        <w:t>F</w:t>
      </w:r>
      <w:r w:rsidR="002A135A" w:rsidRPr="008A579E">
        <w:rPr>
          <w:rFonts w:ascii="Arial" w:hAnsi="Arial" w:cs="Arial"/>
          <w:sz w:val="20"/>
          <w:szCs w:val="20"/>
        </w:rPr>
        <w:t>erro,</w:t>
      </w:r>
      <w:r w:rsidR="00F72F87" w:rsidRPr="008A579E">
        <w:rPr>
          <w:rFonts w:ascii="Arial" w:hAnsi="Arial" w:cs="Arial"/>
          <w:sz w:val="20"/>
          <w:szCs w:val="20"/>
        </w:rPr>
        <w:t xml:space="preserve"> </w:t>
      </w:r>
      <w:r w:rsidR="00847A5E" w:rsidRPr="008A579E">
        <w:rPr>
          <w:rFonts w:ascii="Arial" w:hAnsi="Arial" w:cs="Arial"/>
          <w:sz w:val="20"/>
          <w:szCs w:val="20"/>
        </w:rPr>
        <w:t>para tratamento de água,</w:t>
      </w:r>
      <w:r w:rsidR="0008282F" w:rsidRPr="008A579E">
        <w:rPr>
          <w:rFonts w:ascii="Arial" w:hAnsi="Arial" w:cs="Arial"/>
          <w:sz w:val="20"/>
          <w:szCs w:val="20"/>
        </w:rPr>
        <w:t xml:space="preserve"> por um período de 12 (doze) meses,</w:t>
      </w:r>
      <w:r w:rsidR="00847A5E" w:rsidRPr="008A579E">
        <w:rPr>
          <w:rFonts w:ascii="Arial" w:hAnsi="Arial" w:cs="Arial"/>
          <w:sz w:val="20"/>
          <w:szCs w:val="20"/>
        </w:rPr>
        <w:t xml:space="preserve"> </w:t>
      </w:r>
      <w:r w:rsidR="00F72F87" w:rsidRPr="008A579E">
        <w:rPr>
          <w:rFonts w:ascii="Arial" w:hAnsi="Arial" w:cs="Arial"/>
          <w:sz w:val="20"/>
          <w:szCs w:val="20"/>
        </w:rPr>
        <w:t>conforme especificações</w:t>
      </w:r>
      <w:r w:rsidR="00F96BFE" w:rsidRPr="008A579E">
        <w:rPr>
          <w:rFonts w:ascii="Arial" w:hAnsi="Arial" w:cs="Arial"/>
          <w:sz w:val="20"/>
          <w:szCs w:val="20"/>
        </w:rPr>
        <w:t xml:space="preserve"> abaixo:</w:t>
      </w:r>
    </w:p>
    <w:p w:rsidR="008A579E" w:rsidRPr="008A579E" w:rsidRDefault="008A579E" w:rsidP="008A579E">
      <w:pPr>
        <w:pStyle w:val="SemEspaamen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F96BFE" w:rsidTr="00F87A2B">
        <w:tc>
          <w:tcPr>
            <w:tcW w:w="4322" w:type="dxa"/>
          </w:tcPr>
          <w:p w:rsidR="00F96BFE" w:rsidRPr="008A579E" w:rsidRDefault="00F96BFE" w:rsidP="00863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79E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</w:tcPr>
          <w:p w:rsidR="00F96BFE" w:rsidRPr="008A579E" w:rsidRDefault="00F96BFE" w:rsidP="00863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79E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Tr="00F87A2B">
        <w:tc>
          <w:tcPr>
            <w:tcW w:w="4322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Al</w:t>
            </w:r>
            <w:r w:rsidRPr="008A579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579E">
              <w:rPr>
                <w:rFonts w:ascii="Arial" w:hAnsi="Arial" w:cs="Arial"/>
                <w:sz w:val="20"/>
                <w:szCs w:val="20"/>
              </w:rPr>
              <w:t>O</w:t>
            </w:r>
            <w:r w:rsidRPr="008A579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A579E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8% à 9%</w:t>
            </w:r>
          </w:p>
        </w:tc>
      </w:tr>
      <w:tr w:rsidR="00F96BFE" w:rsidTr="00F87A2B">
        <w:tc>
          <w:tcPr>
            <w:tcW w:w="4322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Fe</w:t>
            </w:r>
            <w:r w:rsidRPr="008A579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579E">
              <w:rPr>
                <w:rFonts w:ascii="Arial" w:hAnsi="Arial" w:cs="Arial"/>
                <w:sz w:val="20"/>
                <w:szCs w:val="20"/>
              </w:rPr>
              <w:t>O</w:t>
            </w:r>
            <w:r w:rsidRPr="008A579E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A579E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</w:tcPr>
          <w:p w:rsidR="00F96BFE" w:rsidRPr="008A579E" w:rsidRDefault="002A135A" w:rsidP="00070F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 xml:space="preserve">0,005% </w:t>
            </w:r>
            <w:r w:rsidR="00070F9E" w:rsidRPr="008A579E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Pr="008A579E">
              <w:rPr>
                <w:rFonts w:ascii="Arial" w:hAnsi="Arial" w:cs="Arial"/>
                <w:sz w:val="20"/>
                <w:szCs w:val="20"/>
              </w:rPr>
              <w:t>0,01%</w:t>
            </w:r>
          </w:p>
        </w:tc>
      </w:tr>
      <w:tr w:rsidR="00F96BFE" w:rsidTr="00F87A2B">
        <w:tc>
          <w:tcPr>
            <w:tcW w:w="4322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F96BFE" w:rsidTr="00F87A2B">
        <w:tc>
          <w:tcPr>
            <w:tcW w:w="4322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1,30 à 1,33</w:t>
            </w:r>
          </w:p>
        </w:tc>
      </w:tr>
      <w:tr w:rsidR="00F96BFE" w:rsidTr="00F87A2B">
        <w:tc>
          <w:tcPr>
            <w:tcW w:w="4322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pH (solução à 1% - 25ºC) (%m/m)</w:t>
            </w:r>
          </w:p>
        </w:tc>
        <w:tc>
          <w:tcPr>
            <w:tcW w:w="4324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F96BFE" w:rsidTr="00F87A2B">
        <w:tc>
          <w:tcPr>
            <w:tcW w:w="4322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</w:tcPr>
          <w:p w:rsidR="00F96BFE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863074" w:rsidTr="00F87A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2" w:type="dxa"/>
          </w:tcPr>
          <w:p w:rsidR="00863074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</w:tcPr>
          <w:p w:rsidR="00863074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2A135A" w:rsidTr="00F87A2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2" w:type="dxa"/>
          </w:tcPr>
          <w:p w:rsidR="002A135A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</w:tcPr>
          <w:p w:rsidR="002A135A" w:rsidRPr="008A579E" w:rsidRDefault="002A135A" w:rsidP="00863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7B532A" w:rsidRDefault="007B532A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Default="00647FCC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O</w:t>
      </w:r>
      <w:r w:rsidR="0008282F" w:rsidRPr="008A579E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8A579E" w:rsidRPr="008A579E" w:rsidRDefault="008A579E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E3BBB" w:rsidRPr="008A579E" w:rsidRDefault="00CE3BBB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SAECIL, o direito de devolução do produto em desacordo com o solicitado.</w:t>
      </w:r>
    </w:p>
    <w:p w:rsidR="000D3351" w:rsidRDefault="000D3351" w:rsidP="000D3351">
      <w:pPr>
        <w:pStyle w:val="SemEspaamento"/>
      </w:pPr>
    </w:p>
    <w:p w:rsidR="000D3351" w:rsidRDefault="000D3351" w:rsidP="000D33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D3351">
        <w:rPr>
          <w:rFonts w:ascii="Arial" w:hAnsi="Arial" w:cs="Arial"/>
          <w:b/>
          <w:sz w:val="20"/>
          <w:szCs w:val="20"/>
        </w:rPr>
        <w:t>VALOR UNITÁRIO ESTIMADO POR TONELADA: R$ 1.393,34 (mil trezentos e noventa e três reais e trinta e quatro centavos).</w:t>
      </w:r>
    </w:p>
    <w:p w:rsidR="000D3351" w:rsidRPr="000D3351" w:rsidRDefault="000D3351" w:rsidP="000D335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D3351">
        <w:rPr>
          <w:rFonts w:ascii="Arial" w:hAnsi="Arial" w:cs="Arial"/>
          <w:b/>
          <w:sz w:val="20"/>
          <w:szCs w:val="20"/>
        </w:rPr>
        <w:t xml:space="preserve"> </w:t>
      </w:r>
    </w:p>
    <w:p w:rsidR="000D3351" w:rsidRPr="000D3351" w:rsidRDefault="000D3351" w:rsidP="000D3351">
      <w:pPr>
        <w:jc w:val="both"/>
        <w:rPr>
          <w:rFonts w:ascii="Arial" w:hAnsi="Arial" w:cs="Arial"/>
          <w:b/>
          <w:sz w:val="20"/>
          <w:szCs w:val="20"/>
        </w:rPr>
      </w:pPr>
      <w:r w:rsidRPr="000D3351">
        <w:rPr>
          <w:rFonts w:ascii="Arial" w:hAnsi="Arial" w:cs="Arial"/>
          <w:b/>
          <w:sz w:val="20"/>
          <w:szCs w:val="20"/>
        </w:rPr>
        <w:t>VALOR TOTAL ESTIMADO: R$ 1.811.342,00 (um milhão, oitocentos e onze mil, trezentos e quarenta e dois reais).</w:t>
      </w:r>
    </w:p>
    <w:p w:rsidR="008A579E" w:rsidRPr="007B532A" w:rsidRDefault="008A579E" w:rsidP="007B532A">
      <w:pPr>
        <w:pStyle w:val="SemEspaamento"/>
      </w:pPr>
    </w:p>
    <w:p w:rsidR="00647FCC" w:rsidRPr="008A579E" w:rsidRDefault="00647FCC" w:rsidP="008A579E">
      <w:pPr>
        <w:pStyle w:val="SemEspaamento"/>
        <w:rPr>
          <w:rFonts w:ascii="Arial" w:hAnsi="Arial" w:cs="Arial"/>
          <w:b/>
          <w:sz w:val="20"/>
          <w:szCs w:val="20"/>
        </w:rPr>
      </w:pPr>
      <w:r w:rsidRPr="008A579E">
        <w:rPr>
          <w:rFonts w:ascii="Arial" w:hAnsi="Arial" w:cs="Arial"/>
          <w:b/>
          <w:sz w:val="20"/>
          <w:szCs w:val="20"/>
        </w:rPr>
        <w:t>2.</w:t>
      </w:r>
      <w:r w:rsidR="008A579E">
        <w:rPr>
          <w:rFonts w:ascii="Arial" w:hAnsi="Arial" w:cs="Arial"/>
          <w:b/>
          <w:sz w:val="20"/>
          <w:szCs w:val="20"/>
        </w:rPr>
        <w:t xml:space="preserve"> </w:t>
      </w:r>
      <w:r w:rsidRPr="008A579E">
        <w:rPr>
          <w:rFonts w:ascii="Arial" w:hAnsi="Arial" w:cs="Arial"/>
          <w:b/>
          <w:sz w:val="20"/>
          <w:szCs w:val="20"/>
        </w:rPr>
        <w:t>ENTREGA</w:t>
      </w:r>
    </w:p>
    <w:p w:rsid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08282F" w:rsidRDefault="0008282F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A entrega do produto será de forma parcelada</w:t>
      </w:r>
      <w:r w:rsidR="00CE3BBB" w:rsidRPr="008A579E">
        <w:rPr>
          <w:rFonts w:ascii="Arial" w:hAnsi="Arial" w:cs="Arial"/>
          <w:sz w:val="20"/>
          <w:szCs w:val="20"/>
        </w:rPr>
        <w:t>, de acordo com a programação a ser feita pela SAECIL</w:t>
      </w:r>
      <w:r w:rsidR="00375E17" w:rsidRPr="008A579E">
        <w:rPr>
          <w:rFonts w:ascii="Arial" w:hAnsi="Arial" w:cs="Arial"/>
          <w:sz w:val="20"/>
          <w:szCs w:val="20"/>
        </w:rPr>
        <w:t>, em até 05 (cinco) dias após a solicitação</w:t>
      </w:r>
      <w:r w:rsidR="00FA1717" w:rsidRPr="008A579E">
        <w:rPr>
          <w:rFonts w:ascii="Arial" w:hAnsi="Arial" w:cs="Arial"/>
          <w:sz w:val="20"/>
          <w:szCs w:val="20"/>
        </w:rPr>
        <w:t>. Os pedidos serão feitos</w:t>
      </w:r>
      <w:r w:rsidR="00E149BB" w:rsidRPr="008A579E">
        <w:rPr>
          <w:rFonts w:ascii="Arial" w:hAnsi="Arial" w:cs="Arial"/>
          <w:sz w:val="20"/>
          <w:szCs w:val="20"/>
        </w:rPr>
        <w:t xml:space="preserve"> pelos Srs. Edson L. </w:t>
      </w:r>
      <w:proofErr w:type="spellStart"/>
      <w:r w:rsidR="00E149BB" w:rsidRPr="008A579E">
        <w:rPr>
          <w:rFonts w:ascii="Arial" w:hAnsi="Arial" w:cs="Arial"/>
          <w:sz w:val="20"/>
          <w:szCs w:val="20"/>
        </w:rPr>
        <w:t>Pacagnella</w:t>
      </w:r>
      <w:proofErr w:type="spellEnd"/>
      <w:r w:rsidR="00D37AE5" w:rsidRPr="008A579E">
        <w:rPr>
          <w:rFonts w:ascii="Arial" w:hAnsi="Arial" w:cs="Arial"/>
          <w:sz w:val="20"/>
          <w:szCs w:val="20"/>
        </w:rPr>
        <w:t>, Tiago L. Silva</w:t>
      </w:r>
      <w:r w:rsidR="00E149BB" w:rsidRPr="008A579E">
        <w:rPr>
          <w:rFonts w:ascii="Arial" w:hAnsi="Arial" w:cs="Arial"/>
          <w:sz w:val="20"/>
          <w:szCs w:val="20"/>
        </w:rPr>
        <w:t xml:space="preserve"> </w:t>
      </w:r>
      <w:r w:rsidR="00FA1717" w:rsidRPr="008A579E">
        <w:rPr>
          <w:rFonts w:ascii="Arial" w:hAnsi="Arial" w:cs="Arial"/>
          <w:sz w:val="20"/>
          <w:szCs w:val="20"/>
        </w:rPr>
        <w:t xml:space="preserve">ou </w:t>
      </w:r>
      <w:r w:rsidR="00E149BB" w:rsidRPr="008A579E">
        <w:rPr>
          <w:rFonts w:ascii="Arial" w:hAnsi="Arial" w:cs="Arial"/>
          <w:sz w:val="20"/>
          <w:szCs w:val="20"/>
        </w:rPr>
        <w:t>Paulo César V. Fogo</w:t>
      </w:r>
      <w:r w:rsidR="00FA1717" w:rsidRPr="008A579E">
        <w:rPr>
          <w:rFonts w:ascii="Arial" w:hAnsi="Arial" w:cs="Arial"/>
          <w:sz w:val="20"/>
          <w:szCs w:val="20"/>
        </w:rPr>
        <w:t>, através d</w:t>
      </w:r>
      <w:r w:rsidR="00CE3BBB" w:rsidRPr="008A579E">
        <w:rPr>
          <w:rFonts w:ascii="Arial" w:hAnsi="Arial" w:cs="Arial"/>
          <w:sz w:val="20"/>
          <w:szCs w:val="20"/>
        </w:rPr>
        <w:t>o</w:t>
      </w:r>
      <w:r w:rsidR="00E149BB" w:rsidRPr="008A579E">
        <w:rPr>
          <w:rFonts w:ascii="Arial" w:hAnsi="Arial" w:cs="Arial"/>
          <w:sz w:val="20"/>
          <w:szCs w:val="20"/>
        </w:rPr>
        <w:t>s</w:t>
      </w:r>
      <w:r w:rsidR="00FA1717" w:rsidRPr="008A579E">
        <w:rPr>
          <w:rFonts w:ascii="Arial" w:hAnsi="Arial" w:cs="Arial"/>
          <w:sz w:val="20"/>
          <w:szCs w:val="20"/>
        </w:rPr>
        <w:t xml:space="preserve"> e-mail</w:t>
      </w:r>
      <w:r w:rsidR="00E149BB" w:rsidRPr="008A579E">
        <w:rPr>
          <w:rFonts w:ascii="Arial" w:hAnsi="Arial" w:cs="Arial"/>
          <w:sz w:val="20"/>
          <w:szCs w:val="20"/>
        </w:rPr>
        <w:t>s</w:t>
      </w:r>
      <w:r w:rsidR="001148AC" w:rsidRPr="008A579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149BB" w:rsidRPr="008A579E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E149BB" w:rsidRPr="008A579E">
        <w:rPr>
          <w:rFonts w:ascii="Arial" w:hAnsi="Arial" w:cs="Arial"/>
          <w:sz w:val="20"/>
          <w:szCs w:val="20"/>
        </w:rPr>
        <w:t xml:space="preserve"> </w:t>
      </w:r>
      <w:r w:rsidR="00997071" w:rsidRPr="008A579E">
        <w:rPr>
          <w:rFonts w:ascii="Arial" w:hAnsi="Arial" w:cs="Arial"/>
          <w:sz w:val="20"/>
          <w:szCs w:val="20"/>
        </w:rPr>
        <w:t>ou</w:t>
      </w:r>
      <w:r w:rsidR="00E149BB" w:rsidRPr="008A579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A579E" w:rsidRPr="00FE4141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paulofogo@saecil.com.br</w:t>
        </w:r>
      </w:hyperlink>
      <w:r w:rsidR="00FE4141" w:rsidRPr="00FE4141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8A579E" w:rsidRP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Default="00647FCC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8A579E">
        <w:rPr>
          <w:rFonts w:ascii="Arial" w:hAnsi="Arial" w:cs="Arial"/>
          <w:sz w:val="20"/>
          <w:szCs w:val="20"/>
        </w:rPr>
        <w:t>mento de Água desta cidade, localizada</w:t>
      </w:r>
      <w:r w:rsidRPr="008A579E">
        <w:rPr>
          <w:rFonts w:ascii="Arial" w:hAnsi="Arial" w:cs="Arial"/>
          <w:sz w:val="20"/>
          <w:szCs w:val="20"/>
        </w:rPr>
        <w:t xml:space="preserve"> à Via Anhanguera km 192</w:t>
      </w:r>
      <w:r w:rsidR="00CE3BBB" w:rsidRPr="008A579E">
        <w:rPr>
          <w:rFonts w:ascii="Arial" w:hAnsi="Arial" w:cs="Arial"/>
          <w:sz w:val="20"/>
          <w:szCs w:val="20"/>
        </w:rPr>
        <w:t xml:space="preserve"> + 700 metros</w:t>
      </w:r>
      <w:r w:rsidRPr="008A579E">
        <w:rPr>
          <w:rFonts w:ascii="Arial" w:hAnsi="Arial" w:cs="Arial"/>
          <w:sz w:val="20"/>
          <w:szCs w:val="20"/>
        </w:rPr>
        <w:t xml:space="preserve">, sentido capital/interior, em veículo </w:t>
      </w:r>
      <w:r w:rsidR="00EB2E0D" w:rsidRPr="008A579E">
        <w:rPr>
          <w:rFonts w:ascii="Arial" w:hAnsi="Arial" w:cs="Arial"/>
          <w:sz w:val="20"/>
          <w:szCs w:val="20"/>
        </w:rPr>
        <w:t>apropriado</w:t>
      </w:r>
      <w:r w:rsidRPr="008A579E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8A579E" w:rsidRP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8A579E" w:rsidRDefault="00FA1717" w:rsidP="008A579E">
      <w:pPr>
        <w:pStyle w:val="SemEspaamento"/>
        <w:rPr>
          <w:rFonts w:ascii="Arial" w:hAnsi="Arial" w:cs="Arial"/>
          <w:b/>
          <w:sz w:val="20"/>
          <w:szCs w:val="20"/>
        </w:rPr>
      </w:pPr>
      <w:r w:rsidRPr="008A579E">
        <w:rPr>
          <w:rFonts w:ascii="Arial" w:hAnsi="Arial" w:cs="Arial"/>
          <w:b/>
          <w:sz w:val="20"/>
          <w:szCs w:val="20"/>
        </w:rPr>
        <w:t>3.</w:t>
      </w:r>
      <w:r w:rsidR="008A579E" w:rsidRPr="008A579E">
        <w:rPr>
          <w:rFonts w:ascii="Arial" w:hAnsi="Arial" w:cs="Arial"/>
          <w:b/>
          <w:sz w:val="20"/>
          <w:szCs w:val="20"/>
        </w:rPr>
        <w:t xml:space="preserve"> </w:t>
      </w:r>
      <w:r w:rsidRPr="008A579E">
        <w:rPr>
          <w:rFonts w:ascii="Arial" w:hAnsi="Arial" w:cs="Arial"/>
          <w:b/>
          <w:sz w:val="20"/>
          <w:szCs w:val="20"/>
        </w:rPr>
        <w:t>OBSERVAÇÕES</w:t>
      </w:r>
    </w:p>
    <w:p w:rsidR="008A579E" w:rsidRP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8A579E" w:rsidRDefault="00305E77" w:rsidP="008A579E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 xml:space="preserve">A Portaria de Consolidação MS </w:t>
      </w:r>
      <w:r w:rsidR="001E2EBF" w:rsidRPr="008A579E">
        <w:rPr>
          <w:rFonts w:ascii="Arial" w:hAnsi="Arial" w:cs="Arial"/>
          <w:sz w:val="20"/>
          <w:szCs w:val="20"/>
        </w:rPr>
        <w:t>nº</w:t>
      </w:r>
      <w:r w:rsidRPr="008A579E">
        <w:rPr>
          <w:rFonts w:ascii="Arial" w:hAnsi="Arial" w:cs="Arial"/>
          <w:sz w:val="20"/>
          <w:szCs w:val="20"/>
        </w:rPr>
        <w:t xml:space="preserve"> 5 de 28/09/2017</w:t>
      </w:r>
      <w:r w:rsidR="001E2EBF" w:rsidRPr="008A579E">
        <w:rPr>
          <w:rFonts w:ascii="Arial" w:hAnsi="Arial" w:cs="Arial"/>
          <w:sz w:val="20"/>
          <w:szCs w:val="20"/>
        </w:rPr>
        <w:t>,</w:t>
      </w:r>
      <w:r w:rsidRPr="008A579E">
        <w:rPr>
          <w:rFonts w:ascii="Arial" w:hAnsi="Arial" w:cs="Arial"/>
          <w:sz w:val="20"/>
          <w:szCs w:val="20"/>
        </w:rPr>
        <w:t xml:space="preserve"> anexo XX, </w:t>
      </w:r>
      <w:r w:rsidR="001E2EBF" w:rsidRPr="008A579E">
        <w:rPr>
          <w:rFonts w:ascii="Arial" w:hAnsi="Arial" w:cs="Arial"/>
          <w:sz w:val="20"/>
          <w:szCs w:val="20"/>
        </w:rPr>
        <w:t xml:space="preserve">estabelece na Seção IV, Art.13º, inciso III, alínea “b” que compete ao responsável pelo sistema ou solução alternativa coletiva de abastecimento de água para consumo humano, exigir, junto aos fornecedores, o laudo de atendimento dos requisitos de saúde estabelecidos em norma técnica da ABNT, para o controle de qualidade dos produtos químicos utilizados no tratamento de água, referindo-se à NBR 15.784:2009; e alínea “c” </w:t>
      </w:r>
      <w:r w:rsidR="001E2EBF" w:rsidRPr="008A579E">
        <w:rPr>
          <w:rFonts w:ascii="Arial" w:hAnsi="Arial" w:cs="Arial"/>
          <w:color w:val="000000"/>
          <w:sz w:val="20"/>
          <w:szCs w:val="20"/>
        </w:rPr>
        <w:t>laudo de inocuidade dos materiais utilizados na produção e distribuição que tenham  contato com a água.</w:t>
      </w:r>
    </w:p>
    <w:p w:rsidR="008A579E" w:rsidRDefault="008A579E" w:rsidP="008A579E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FE4141" w:rsidRDefault="00FE4141" w:rsidP="008A579E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1E2EBF" w:rsidRPr="008A579E" w:rsidRDefault="001E2EBF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8A579E" w:rsidRDefault="008A579E" w:rsidP="008A579E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FE4141" w:rsidRDefault="00FE4141" w:rsidP="008A579E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1E2EBF" w:rsidRDefault="00FA1717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b/>
          <w:bCs/>
          <w:sz w:val="20"/>
          <w:szCs w:val="20"/>
        </w:rPr>
        <w:t>3.1.</w:t>
      </w:r>
      <w:r w:rsidR="008A579E" w:rsidRPr="008A579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A579E">
        <w:rPr>
          <w:rFonts w:ascii="Arial" w:hAnsi="Arial" w:cs="Arial"/>
          <w:b/>
          <w:bCs/>
          <w:sz w:val="20"/>
          <w:szCs w:val="20"/>
        </w:rPr>
        <w:t>OBJETIVO</w:t>
      </w:r>
      <w:r w:rsidR="001E2EBF" w:rsidRPr="008A579E">
        <w:rPr>
          <w:rFonts w:ascii="Arial" w:hAnsi="Arial" w:cs="Arial"/>
          <w:bCs/>
          <w:sz w:val="20"/>
          <w:szCs w:val="20"/>
        </w:rPr>
        <w:t>:</w:t>
      </w:r>
      <w:r w:rsidR="001E2EBF" w:rsidRPr="008A579E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</w:t>
      </w:r>
      <w:r w:rsidR="008A579E">
        <w:rPr>
          <w:rFonts w:ascii="Arial" w:hAnsi="Arial" w:cs="Arial"/>
          <w:sz w:val="20"/>
          <w:szCs w:val="20"/>
        </w:rPr>
        <w:t xml:space="preserve"> </w:t>
      </w:r>
      <w:r w:rsidR="001E2EBF" w:rsidRPr="008A579E">
        <w:rPr>
          <w:rFonts w:ascii="Arial" w:hAnsi="Arial" w:cs="Arial"/>
          <w:sz w:val="20"/>
          <w:szCs w:val="20"/>
        </w:rPr>
        <w:t>dosagens máximas de uso indicadas pelo fornecedor do produto, de forma a não causar prejuízo à saúde humana.</w:t>
      </w:r>
    </w:p>
    <w:p w:rsidR="008A579E" w:rsidRPr="008A579E" w:rsidRDefault="008A579E" w:rsidP="008A579E">
      <w:pPr>
        <w:pStyle w:val="SemEspaamen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E2EBF" w:rsidRDefault="001E2EBF" w:rsidP="008A57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 xml:space="preserve">Com a publicação, pelo Ministério da Saúde, da Portaria </w:t>
      </w:r>
      <w:r w:rsidR="00305E77" w:rsidRPr="008A579E">
        <w:rPr>
          <w:rFonts w:ascii="Arial" w:hAnsi="Arial" w:cs="Arial"/>
          <w:sz w:val="20"/>
          <w:szCs w:val="20"/>
        </w:rPr>
        <w:t>de Consolidação nº 5 de 28/09/2017</w:t>
      </w:r>
      <w:r w:rsidRPr="008A579E">
        <w:rPr>
          <w:rFonts w:ascii="Arial" w:hAnsi="Arial" w:cs="Arial"/>
          <w:sz w:val="20"/>
          <w:szCs w:val="20"/>
        </w:rPr>
        <w:t xml:space="preserve">, a NBR 15.784 passa a ter </w:t>
      </w:r>
      <w:r w:rsidRPr="00FE4141">
        <w:rPr>
          <w:rFonts w:ascii="Arial" w:hAnsi="Arial" w:cs="Arial"/>
          <w:b/>
          <w:sz w:val="20"/>
          <w:szCs w:val="20"/>
        </w:rPr>
        <w:t>caráter compulsório.</w:t>
      </w:r>
      <w:r w:rsidRPr="008A579E">
        <w:rPr>
          <w:rFonts w:ascii="Arial" w:hAnsi="Arial" w:cs="Arial"/>
          <w:sz w:val="20"/>
          <w:szCs w:val="20"/>
        </w:rPr>
        <w:t xml:space="preserve"> </w:t>
      </w:r>
    </w:p>
    <w:p w:rsidR="008A579E" w:rsidRP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FE4141" w:rsidRDefault="001E2EBF" w:rsidP="008A579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FE414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8A579E" w:rsidRPr="008A579E" w:rsidRDefault="008A579E" w:rsidP="008A579E">
      <w:pPr>
        <w:pStyle w:val="SemEspaamen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1E2EBF" w:rsidRPr="00FE4141" w:rsidRDefault="001E2EBF" w:rsidP="008A579E">
      <w:pPr>
        <w:pStyle w:val="SemEspaamen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8A579E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FE414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8A579E" w:rsidRPr="008A579E" w:rsidRDefault="008A579E" w:rsidP="008A579E">
      <w:pPr>
        <w:pStyle w:val="SemEspaamen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1E2EBF" w:rsidRPr="00FE4141" w:rsidRDefault="001E2EBF" w:rsidP="008A579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FE414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Categorias</w:t>
      </w:r>
    </w:p>
    <w:p w:rsidR="001E2EBF" w:rsidRPr="008A579E" w:rsidRDefault="00B07F18" w:rsidP="008A579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8A579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8A579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8A579E" w:rsidRDefault="00B07F18" w:rsidP="008A579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8A579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8A579E" w:rsidRDefault="00B07F18" w:rsidP="008A579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2" w:history="1">
        <w:r w:rsidR="001E2EBF" w:rsidRPr="008A579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8A579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8A579E" w:rsidRDefault="00B07F18" w:rsidP="008A579E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3" w:history="1">
        <w:r w:rsidR="001E2EBF" w:rsidRPr="008A579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Pr="008A579E" w:rsidRDefault="001E2EBF" w:rsidP="008A579E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1E2EBF" w:rsidRPr="008A579E" w:rsidRDefault="001E2EBF" w:rsidP="008A579E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FA1717" w:rsidRPr="008A579E" w:rsidRDefault="00FC004B" w:rsidP="008A579E">
      <w:pPr>
        <w:pStyle w:val="SemEspaamento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Leme,</w:t>
      </w:r>
      <w:r w:rsidR="0058161D">
        <w:rPr>
          <w:rFonts w:ascii="Arial" w:hAnsi="Arial" w:cs="Arial"/>
          <w:sz w:val="20"/>
          <w:szCs w:val="20"/>
        </w:rPr>
        <w:t xml:space="preserve"> 11 d</w:t>
      </w:r>
      <w:bookmarkStart w:id="0" w:name="_GoBack"/>
      <w:bookmarkEnd w:id="0"/>
      <w:r w:rsidR="0058161D">
        <w:rPr>
          <w:rFonts w:ascii="Arial" w:hAnsi="Arial" w:cs="Arial"/>
          <w:sz w:val="20"/>
          <w:szCs w:val="20"/>
        </w:rPr>
        <w:t>e dezembro de 2020.</w:t>
      </w:r>
    </w:p>
    <w:p w:rsidR="00D37AE5" w:rsidRDefault="00D37AE5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8A579E" w:rsidRP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9A76EB" w:rsidRPr="008A579E" w:rsidRDefault="009A76EB" w:rsidP="008A579E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8A579E" w:rsidRDefault="008A579E" w:rsidP="008A579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 w:rsidR="00FA1717" w:rsidRPr="008A579E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______________________</w:t>
      </w:r>
    </w:p>
    <w:p w:rsidR="00FA1717" w:rsidRPr="008A579E" w:rsidRDefault="00FA1717" w:rsidP="008A579E">
      <w:pPr>
        <w:pStyle w:val="SemEspaamento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 xml:space="preserve">            Paulo C.V. Fogo</w:t>
      </w:r>
      <w:r w:rsidRPr="008A579E">
        <w:rPr>
          <w:rFonts w:ascii="Arial" w:hAnsi="Arial" w:cs="Arial"/>
          <w:sz w:val="20"/>
          <w:szCs w:val="20"/>
        </w:rPr>
        <w:tab/>
      </w:r>
      <w:r w:rsidR="008A579E">
        <w:rPr>
          <w:rFonts w:ascii="Arial" w:hAnsi="Arial" w:cs="Arial"/>
          <w:sz w:val="20"/>
          <w:szCs w:val="20"/>
        </w:rPr>
        <w:tab/>
      </w:r>
      <w:r w:rsidR="008A579E">
        <w:rPr>
          <w:rFonts w:ascii="Arial" w:hAnsi="Arial" w:cs="Arial"/>
          <w:sz w:val="20"/>
          <w:szCs w:val="20"/>
        </w:rPr>
        <w:tab/>
      </w:r>
      <w:r w:rsidR="008A579E">
        <w:rPr>
          <w:rFonts w:ascii="Arial" w:hAnsi="Arial" w:cs="Arial"/>
          <w:sz w:val="20"/>
          <w:szCs w:val="20"/>
        </w:rPr>
        <w:tab/>
        <w:t xml:space="preserve">         </w:t>
      </w:r>
      <w:r w:rsidRPr="008A579E">
        <w:rPr>
          <w:rFonts w:ascii="Arial" w:hAnsi="Arial" w:cs="Arial"/>
          <w:sz w:val="20"/>
          <w:szCs w:val="20"/>
        </w:rPr>
        <w:t xml:space="preserve">           Edson L. </w:t>
      </w:r>
      <w:proofErr w:type="spellStart"/>
      <w:r w:rsidRPr="008A579E">
        <w:rPr>
          <w:rFonts w:ascii="Arial" w:hAnsi="Arial" w:cs="Arial"/>
          <w:sz w:val="20"/>
          <w:szCs w:val="20"/>
        </w:rPr>
        <w:t>Pacagnella</w:t>
      </w:r>
      <w:proofErr w:type="spellEnd"/>
    </w:p>
    <w:p w:rsidR="00640749" w:rsidRPr="008A579E" w:rsidRDefault="00D37AE5" w:rsidP="008A579E">
      <w:pPr>
        <w:pStyle w:val="SemEspaamento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 xml:space="preserve"> </w:t>
      </w:r>
      <w:r w:rsidR="00FA1717" w:rsidRPr="008A579E">
        <w:rPr>
          <w:rFonts w:ascii="Arial" w:hAnsi="Arial" w:cs="Arial"/>
          <w:sz w:val="20"/>
          <w:szCs w:val="20"/>
        </w:rPr>
        <w:t>Dep.</w:t>
      </w:r>
      <w:r w:rsidRPr="008A579E">
        <w:rPr>
          <w:rFonts w:ascii="Arial" w:hAnsi="Arial" w:cs="Arial"/>
          <w:sz w:val="20"/>
          <w:szCs w:val="20"/>
        </w:rPr>
        <w:t xml:space="preserve"> </w:t>
      </w:r>
      <w:r w:rsidR="00FA1717" w:rsidRPr="008A579E">
        <w:rPr>
          <w:rFonts w:ascii="Arial" w:hAnsi="Arial" w:cs="Arial"/>
          <w:sz w:val="20"/>
          <w:szCs w:val="20"/>
        </w:rPr>
        <w:t>Tratamento</w:t>
      </w:r>
      <w:r w:rsidRPr="008A579E">
        <w:rPr>
          <w:rFonts w:ascii="Arial" w:hAnsi="Arial" w:cs="Arial"/>
          <w:sz w:val="20"/>
          <w:szCs w:val="20"/>
        </w:rPr>
        <w:t xml:space="preserve"> de Água</w:t>
      </w:r>
      <w:r w:rsidR="00FA1717" w:rsidRPr="008A579E">
        <w:rPr>
          <w:rFonts w:ascii="Arial" w:hAnsi="Arial" w:cs="Arial"/>
          <w:sz w:val="20"/>
          <w:szCs w:val="20"/>
        </w:rPr>
        <w:t xml:space="preserve">         </w:t>
      </w:r>
      <w:r w:rsidR="008A579E">
        <w:rPr>
          <w:rFonts w:ascii="Arial" w:hAnsi="Arial" w:cs="Arial"/>
          <w:sz w:val="20"/>
          <w:szCs w:val="20"/>
        </w:rPr>
        <w:t xml:space="preserve">               </w:t>
      </w:r>
      <w:r w:rsidR="00FA1717" w:rsidRPr="008A579E">
        <w:rPr>
          <w:rFonts w:ascii="Arial" w:hAnsi="Arial" w:cs="Arial"/>
          <w:sz w:val="20"/>
          <w:szCs w:val="20"/>
        </w:rPr>
        <w:t xml:space="preserve">           </w:t>
      </w:r>
      <w:r w:rsidR="008A579E">
        <w:rPr>
          <w:rFonts w:ascii="Arial" w:hAnsi="Arial" w:cs="Arial"/>
          <w:sz w:val="20"/>
          <w:szCs w:val="20"/>
        </w:rPr>
        <w:t xml:space="preserve">            </w:t>
      </w:r>
      <w:r w:rsidR="00FA1717" w:rsidRPr="008A579E">
        <w:rPr>
          <w:rFonts w:ascii="Arial" w:hAnsi="Arial" w:cs="Arial"/>
          <w:sz w:val="20"/>
          <w:szCs w:val="20"/>
        </w:rPr>
        <w:t xml:space="preserve"> </w:t>
      </w:r>
      <w:r w:rsidR="008A579E">
        <w:rPr>
          <w:rFonts w:ascii="Arial" w:hAnsi="Arial" w:cs="Arial"/>
          <w:sz w:val="20"/>
          <w:szCs w:val="20"/>
        </w:rPr>
        <w:t xml:space="preserve">                      </w:t>
      </w:r>
      <w:r w:rsidR="00FA1717" w:rsidRPr="008A579E">
        <w:rPr>
          <w:rFonts w:ascii="Arial" w:hAnsi="Arial" w:cs="Arial"/>
          <w:sz w:val="20"/>
          <w:szCs w:val="20"/>
        </w:rPr>
        <w:t xml:space="preserve">Químico </w:t>
      </w:r>
      <w:r w:rsidR="008A579E" w:rsidRPr="008A579E">
        <w:rPr>
          <w:rFonts w:ascii="Arial" w:hAnsi="Arial" w:cs="Arial"/>
          <w:sz w:val="20"/>
          <w:szCs w:val="20"/>
        </w:rPr>
        <w:t>–</w:t>
      </w:r>
      <w:r w:rsidR="00FA1717" w:rsidRPr="008A579E">
        <w:rPr>
          <w:rFonts w:ascii="Arial" w:hAnsi="Arial" w:cs="Arial"/>
          <w:sz w:val="20"/>
          <w:szCs w:val="20"/>
        </w:rPr>
        <w:t xml:space="preserve"> ETA</w:t>
      </w:r>
      <w:r w:rsidR="008A579E" w:rsidRPr="008A579E">
        <w:rPr>
          <w:rFonts w:ascii="Arial" w:hAnsi="Arial" w:cs="Arial"/>
          <w:sz w:val="20"/>
          <w:szCs w:val="20"/>
        </w:rPr>
        <w:t xml:space="preserve"> </w:t>
      </w:r>
    </w:p>
    <w:p w:rsidR="00640749" w:rsidRPr="008A579E" w:rsidRDefault="008A579E" w:rsidP="008A579E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8A579E">
        <w:rPr>
          <w:rFonts w:ascii="Arial" w:hAnsi="Arial" w:cs="Arial"/>
          <w:sz w:val="20"/>
          <w:szCs w:val="20"/>
        </w:rPr>
        <w:t xml:space="preserve">CRQ – IV </w:t>
      </w:r>
      <w:r>
        <w:rPr>
          <w:rFonts w:ascii="Arial" w:hAnsi="Arial" w:cs="Arial"/>
          <w:sz w:val="20"/>
          <w:szCs w:val="20"/>
        </w:rPr>
        <w:t xml:space="preserve">  </w:t>
      </w:r>
      <w:r w:rsidRPr="008A579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8A579E">
        <w:rPr>
          <w:rFonts w:ascii="Arial" w:hAnsi="Arial" w:cs="Arial"/>
          <w:sz w:val="20"/>
          <w:szCs w:val="20"/>
        </w:rPr>
        <w:t xml:space="preserve">º </w:t>
      </w:r>
      <w:r w:rsidR="00FA1717" w:rsidRPr="008A579E">
        <w:rPr>
          <w:rFonts w:ascii="Arial" w:hAnsi="Arial" w:cs="Arial"/>
          <w:sz w:val="20"/>
          <w:szCs w:val="20"/>
        </w:rPr>
        <w:t>04141103</w:t>
      </w:r>
    </w:p>
    <w:p w:rsidR="00D37AE5" w:rsidRPr="008A579E" w:rsidRDefault="00D37AE5" w:rsidP="008A57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A579E" w:rsidRDefault="008A579E" w:rsidP="008A57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A579E" w:rsidRDefault="008A579E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37AE5" w:rsidRPr="008A579E" w:rsidRDefault="00D37AE5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____________________</w:t>
      </w:r>
    </w:p>
    <w:p w:rsidR="00D37AE5" w:rsidRPr="008A579E" w:rsidRDefault="00D37AE5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 xml:space="preserve">Tiago </w:t>
      </w:r>
      <w:proofErr w:type="spellStart"/>
      <w:r w:rsidRPr="008A579E">
        <w:rPr>
          <w:rFonts w:ascii="Arial" w:hAnsi="Arial" w:cs="Arial"/>
          <w:sz w:val="20"/>
          <w:szCs w:val="20"/>
        </w:rPr>
        <w:t>Luis</w:t>
      </w:r>
      <w:proofErr w:type="spellEnd"/>
      <w:r w:rsidRPr="008A579E">
        <w:rPr>
          <w:rFonts w:ascii="Arial" w:hAnsi="Arial" w:cs="Arial"/>
          <w:sz w:val="20"/>
          <w:szCs w:val="20"/>
        </w:rPr>
        <w:t xml:space="preserve"> da Silva</w:t>
      </w:r>
    </w:p>
    <w:p w:rsidR="00D37AE5" w:rsidRPr="008A579E" w:rsidRDefault="00D37AE5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Químico – ETA</w:t>
      </w:r>
    </w:p>
    <w:p w:rsidR="00D37AE5" w:rsidRDefault="00D37AE5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8A579E">
        <w:rPr>
          <w:rFonts w:ascii="Arial" w:hAnsi="Arial" w:cs="Arial"/>
          <w:sz w:val="20"/>
          <w:szCs w:val="20"/>
        </w:rPr>
        <w:t>CRQ – IV nº 04165675</w:t>
      </w:r>
    </w:p>
    <w:p w:rsidR="00510E7D" w:rsidRDefault="00510E7D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10E7D" w:rsidRDefault="00510E7D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10E7D" w:rsidRDefault="00510E7D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10E7D" w:rsidRDefault="00510E7D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510E7D" w:rsidRDefault="00510E7D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510E7D" w:rsidRPr="008A579E" w:rsidRDefault="00510E7D" w:rsidP="00510E7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sectPr w:rsidR="00510E7D" w:rsidRPr="008A579E" w:rsidSect="008A579E">
      <w:footerReference w:type="default" r:id="rId14"/>
      <w:pgSz w:w="11906" w:h="16838"/>
      <w:pgMar w:top="1701" w:right="1701" w:bottom="993" w:left="1701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18" w:rsidRDefault="00B07F18" w:rsidP="00D835DC">
      <w:pPr>
        <w:spacing w:after="0" w:line="240" w:lineRule="auto"/>
      </w:pPr>
      <w:r>
        <w:separator/>
      </w:r>
    </w:p>
  </w:endnote>
  <w:endnote w:type="continuationSeparator" w:id="0">
    <w:p w:rsidR="00B07F18" w:rsidRDefault="00B07F18" w:rsidP="00D8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092744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A579E" w:rsidRPr="008A579E" w:rsidRDefault="008A579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A579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18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A579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18B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A579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835DC" w:rsidRDefault="00D835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18" w:rsidRDefault="00B07F18" w:rsidP="00D835DC">
      <w:pPr>
        <w:spacing w:after="0" w:line="240" w:lineRule="auto"/>
      </w:pPr>
      <w:r>
        <w:separator/>
      </w:r>
    </w:p>
  </w:footnote>
  <w:footnote w:type="continuationSeparator" w:id="0">
    <w:p w:rsidR="00B07F18" w:rsidRDefault="00B07F18" w:rsidP="00D8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8408E"/>
    <w:multiLevelType w:val="hybridMultilevel"/>
    <w:tmpl w:val="47341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70F9E"/>
    <w:rsid w:val="0008282F"/>
    <w:rsid w:val="00085639"/>
    <w:rsid w:val="00091888"/>
    <w:rsid w:val="000D3351"/>
    <w:rsid w:val="001148AC"/>
    <w:rsid w:val="00170AB6"/>
    <w:rsid w:val="00191C10"/>
    <w:rsid w:val="001E2EBF"/>
    <w:rsid w:val="002159E4"/>
    <w:rsid w:val="002A135A"/>
    <w:rsid w:val="00305E77"/>
    <w:rsid w:val="00307053"/>
    <w:rsid w:val="00314620"/>
    <w:rsid w:val="00375E17"/>
    <w:rsid w:val="00446BBA"/>
    <w:rsid w:val="004F178A"/>
    <w:rsid w:val="00510E7D"/>
    <w:rsid w:val="005550A3"/>
    <w:rsid w:val="0058161D"/>
    <w:rsid w:val="005E529C"/>
    <w:rsid w:val="006112CD"/>
    <w:rsid w:val="00640749"/>
    <w:rsid w:val="00647FCC"/>
    <w:rsid w:val="006574EB"/>
    <w:rsid w:val="007A4072"/>
    <w:rsid w:val="007A712E"/>
    <w:rsid w:val="007B532A"/>
    <w:rsid w:val="007E42C7"/>
    <w:rsid w:val="007F42BF"/>
    <w:rsid w:val="00847843"/>
    <w:rsid w:val="00847A5E"/>
    <w:rsid w:val="00854114"/>
    <w:rsid w:val="00863074"/>
    <w:rsid w:val="008A579E"/>
    <w:rsid w:val="009651F8"/>
    <w:rsid w:val="00997071"/>
    <w:rsid w:val="009A76EB"/>
    <w:rsid w:val="009D6BE5"/>
    <w:rsid w:val="009E15D6"/>
    <w:rsid w:val="00A33519"/>
    <w:rsid w:val="00A3444E"/>
    <w:rsid w:val="00A351BF"/>
    <w:rsid w:val="00AF2F27"/>
    <w:rsid w:val="00B07F18"/>
    <w:rsid w:val="00B40508"/>
    <w:rsid w:val="00B774F2"/>
    <w:rsid w:val="00B930A0"/>
    <w:rsid w:val="00BC14DA"/>
    <w:rsid w:val="00BD602A"/>
    <w:rsid w:val="00CE08C3"/>
    <w:rsid w:val="00CE3BBB"/>
    <w:rsid w:val="00D37AE5"/>
    <w:rsid w:val="00D56FB8"/>
    <w:rsid w:val="00D65593"/>
    <w:rsid w:val="00D72DC0"/>
    <w:rsid w:val="00D807B1"/>
    <w:rsid w:val="00D835DC"/>
    <w:rsid w:val="00D84DD5"/>
    <w:rsid w:val="00DA1478"/>
    <w:rsid w:val="00E149BB"/>
    <w:rsid w:val="00EB2E0D"/>
    <w:rsid w:val="00ED18B9"/>
    <w:rsid w:val="00F72F87"/>
    <w:rsid w:val="00F87A2B"/>
    <w:rsid w:val="00F96BFE"/>
    <w:rsid w:val="00FA1717"/>
    <w:rsid w:val="00FC004B"/>
    <w:rsid w:val="00FE4141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69CDC"/>
  <w15:docId w15:val="{449C4890-1606-497B-AC6C-592DA8DB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49B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5DC"/>
  </w:style>
  <w:style w:type="paragraph" w:styleId="Rodap">
    <w:name w:val="footer"/>
    <w:basedOn w:val="Normal"/>
    <w:link w:val="RodapChar"/>
    <w:uiPriority w:val="99"/>
    <w:unhideWhenUsed/>
    <w:rsid w:val="00D8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5DC"/>
  </w:style>
  <w:style w:type="paragraph" w:styleId="SemEspaamento">
    <w:name w:val="No Spacing"/>
    <w:uiPriority w:val="1"/>
    <w:qFormat/>
    <w:rsid w:val="008A5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ajusteph-sequestrantes-desincrustan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desinfetantes-oxidan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coagulantes-flocul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73E11-97CD-47E8-85FB-E66841EF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Atendimento</cp:lastModifiedBy>
  <cp:revision>2</cp:revision>
  <cp:lastPrinted>2020-11-26T12:36:00Z</cp:lastPrinted>
  <dcterms:created xsi:type="dcterms:W3CDTF">2020-11-25T19:34:00Z</dcterms:created>
  <dcterms:modified xsi:type="dcterms:W3CDTF">2020-12-04T19:16:00Z</dcterms:modified>
</cp:coreProperties>
</file>