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1D3B1D">
        <w:rPr>
          <w:rFonts w:ascii="Arial" w:hAnsi="Arial" w:cs="Arial"/>
          <w:b/>
          <w:sz w:val="20"/>
          <w:szCs w:val="20"/>
        </w:rPr>
        <w:t>N.º</w:t>
      </w:r>
      <w:proofErr w:type="gramEnd"/>
      <w:r w:rsidR="001D3B1D">
        <w:rPr>
          <w:rFonts w:ascii="Arial" w:hAnsi="Arial" w:cs="Arial"/>
          <w:b/>
          <w:sz w:val="20"/>
          <w:szCs w:val="20"/>
        </w:rPr>
        <w:t xml:space="preserve"> </w:t>
      </w:r>
      <w:r w:rsidR="002F71A0">
        <w:rPr>
          <w:rFonts w:ascii="Arial" w:hAnsi="Arial" w:cs="Arial"/>
          <w:b/>
          <w:sz w:val="20"/>
          <w:szCs w:val="20"/>
        </w:rPr>
        <w:t>09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2F71A0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2F71A0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28 (vinte e oito)</w:t>
      </w:r>
      <w:r w:rsidRPr="0042647A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junho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D0465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42647A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Sr. Marcos Roberto </w:t>
      </w:r>
      <w:proofErr w:type="spellStart"/>
      <w:r>
        <w:rPr>
          <w:rFonts w:ascii="Arial" w:hAnsi="Arial" w:cs="Arial"/>
          <w:b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portador do R.G. n.º </w:t>
      </w:r>
      <w:r w:rsidRPr="00674193">
        <w:rPr>
          <w:rFonts w:ascii="Arial" w:hAnsi="Arial" w:cs="Arial"/>
          <w:sz w:val="20"/>
          <w:szCs w:val="20"/>
        </w:rPr>
        <w:t>23.991.946-4 SSP/SP e do CPF</w:t>
      </w:r>
      <w:r w:rsidRPr="00BA7AA6">
        <w:rPr>
          <w:rFonts w:ascii="Arial" w:hAnsi="Arial" w:cs="Arial"/>
          <w:sz w:val="20"/>
          <w:szCs w:val="20"/>
        </w:rPr>
        <w:t xml:space="preserve"> n.º </w:t>
      </w:r>
      <w:r w:rsidRPr="00674193">
        <w:rPr>
          <w:rFonts w:ascii="Arial" w:hAnsi="Arial" w:cs="Arial"/>
          <w:sz w:val="20"/>
          <w:szCs w:val="20"/>
        </w:rPr>
        <w:t>125.053.718-57</w:t>
      </w:r>
      <w:r w:rsidRPr="0042647A">
        <w:rPr>
          <w:rFonts w:ascii="Arial" w:hAnsi="Arial" w:cs="Arial"/>
          <w:sz w:val="20"/>
          <w:szCs w:val="20"/>
        </w:rPr>
        <w:t xml:space="preserve">, de ora em diante denominada </w:t>
      </w:r>
      <w:r w:rsidRPr="00D04652">
        <w:rPr>
          <w:rFonts w:ascii="Arial" w:hAnsi="Arial" w:cs="Arial"/>
          <w:b/>
          <w:sz w:val="20"/>
          <w:szCs w:val="20"/>
        </w:rPr>
        <w:t>GERENCIADORA DA ATA/CONTRATANTE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966733"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, resolve REGISTRAR OS PREÇOS da empresa </w:t>
      </w:r>
      <w:r w:rsidR="00864BE6">
        <w:rPr>
          <w:rFonts w:ascii="Arial" w:hAnsi="Arial" w:cs="Arial"/>
          <w:b/>
          <w:sz w:val="20"/>
          <w:szCs w:val="20"/>
        </w:rPr>
        <w:t>Saint Gobain Canalização Ltda.</w:t>
      </w:r>
      <w:r w:rsidR="00966733" w:rsidRPr="0042647A">
        <w:rPr>
          <w:rFonts w:ascii="Arial" w:hAnsi="Arial" w:cs="Arial"/>
          <w:sz w:val="20"/>
          <w:szCs w:val="20"/>
        </w:rPr>
        <w:t xml:space="preserve">, sita à </w:t>
      </w:r>
      <w:r w:rsidR="00864BE6">
        <w:rPr>
          <w:rFonts w:ascii="Arial" w:hAnsi="Arial" w:cs="Arial"/>
          <w:sz w:val="20"/>
          <w:szCs w:val="20"/>
        </w:rPr>
        <w:t>Via Dr. Sérgio Braga</w:t>
      </w:r>
      <w:r w:rsidR="00966733" w:rsidRPr="0042647A">
        <w:rPr>
          <w:rFonts w:ascii="Arial" w:hAnsi="Arial" w:cs="Arial"/>
          <w:sz w:val="20"/>
          <w:szCs w:val="20"/>
        </w:rPr>
        <w:t>,</w:t>
      </w:r>
      <w:r w:rsidR="00864BE6">
        <w:rPr>
          <w:rFonts w:ascii="Arial" w:hAnsi="Arial" w:cs="Arial"/>
          <w:sz w:val="20"/>
          <w:szCs w:val="20"/>
        </w:rPr>
        <w:t xml:space="preserve"> 452, Bairro Barbara, Barra Mansa/RJ, </w:t>
      </w:r>
      <w:r w:rsidR="00966733" w:rsidRPr="0042647A">
        <w:rPr>
          <w:rFonts w:ascii="Arial" w:hAnsi="Arial" w:cs="Arial"/>
          <w:sz w:val="20"/>
          <w:szCs w:val="20"/>
        </w:rPr>
        <w:t xml:space="preserve">inscrita no CNPJ sob n.º </w:t>
      </w:r>
      <w:r w:rsidR="00864BE6">
        <w:rPr>
          <w:rFonts w:ascii="Arial" w:hAnsi="Arial" w:cs="Arial"/>
          <w:sz w:val="20"/>
          <w:szCs w:val="20"/>
        </w:rPr>
        <w:t>28.672.087/0001-62</w:t>
      </w:r>
      <w:r w:rsidR="00966733" w:rsidRPr="0042647A">
        <w:rPr>
          <w:rFonts w:ascii="Arial" w:hAnsi="Arial" w:cs="Arial"/>
          <w:sz w:val="20"/>
          <w:szCs w:val="20"/>
        </w:rPr>
        <w:t xml:space="preserve"> e Inscrição Estadual n.º </w:t>
      </w:r>
      <w:r w:rsidR="000E5205">
        <w:rPr>
          <w:rFonts w:ascii="Arial" w:hAnsi="Arial" w:cs="Arial"/>
          <w:sz w:val="20"/>
          <w:szCs w:val="20"/>
        </w:rPr>
        <w:t>80.</w:t>
      </w:r>
      <w:r w:rsidR="00864BE6">
        <w:rPr>
          <w:rFonts w:ascii="Arial" w:hAnsi="Arial" w:cs="Arial"/>
          <w:sz w:val="20"/>
          <w:szCs w:val="20"/>
        </w:rPr>
        <w:t>5</w:t>
      </w:r>
      <w:r w:rsidR="000E5205">
        <w:rPr>
          <w:rFonts w:ascii="Arial" w:hAnsi="Arial" w:cs="Arial"/>
          <w:sz w:val="20"/>
          <w:szCs w:val="20"/>
        </w:rPr>
        <w:t>1</w:t>
      </w:r>
      <w:r w:rsidR="00864BE6">
        <w:rPr>
          <w:rFonts w:ascii="Arial" w:hAnsi="Arial" w:cs="Arial"/>
          <w:sz w:val="20"/>
          <w:szCs w:val="20"/>
        </w:rPr>
        <w:t>6.320</w:t>
      </w:r>
      <w:r w:rsidR="00966733" w:rsidRPr="0042647A">
        <w:rPr>
          <w:rFonts w:ascii="Arial" w:hAnsi="Arial" w:cs="Arial"/>
          <w:sz w:val="20"/>
          <w:szCs w:val="20"/>
        </w:rPr>
        <w:t>, por seu representante legal</w:t>
      </w:r>
      <w:r w:rsidR="00966733">
        <w:rPr>
          <w:rFonts w:ascii="Arial" w:hAnsi="Arial" w:cs="Arial"/>
          <w:sz w:val="20"/>
          <w:szCs w:val="20"/>
        </w:rPr>
        <w:t>,</w:t>
      </w:r>
      <w:r w:rsidR="00966733" w:rsidRPr="0042647A">
        <w:rPr>
          <w:rFonts w:ascii="Arial" w:hAnsi="Arial" w:cs="Arial"/>
          <w:sz w:val="20"/>
          <w:szCs w:val="20"/>
        </w:rPr>
        <w:t xml:space="preserve"> </w:t>
      </w:r>
      <w:r w:rsidR="00864BE6">
        <w:rPr>
          <w:rFonts w:ascii="Arial" w:hAnsi="Arial" w:cs="Arial"/>
          <w:b/>
          <w:sz w:val="20"/>
          <w:szCs w:val="20"/>
        </w:rPr>
        <w:t xml:space="preserve">Sr. Renato Sylvio </w:t>
      </w:r>
      <w:proofErr w:type="spellStart"/>
      <w:r w:rsidR="00864BE6">
        <w:rPr>
          <w:rFonts w:ascii="Arial" w:hAnsi="Arial" w:cs="Arial"/>
          <w:b/>
          <w:sz w:val="20"/>
          <w:szCs w:val="20"/>
        </w:rPr>
        <w:t>Falc</w:t>
      </w:r>
      <w:r w:rsidR="00335F79">
        <w:rPr>
          <w:rFonts w:ascii="Arial" w:hAnsi="Arial" w:cs="Arial"/>
          <w:b/>
          <w:sz w:val="20"/>
          <w:szCs w:val="20"/>
        </w:rPr>
        <w:t>on</w:t>
      </w:r>
      <w:proofErr w:type="spellEnd"/>
      <w:r w:rsidR="00966733">
        <w:rPr>
          <w:rFonts w:ascii="Arial" w:hAnsi="Arial" w:cs="Arial"/>
          <w:sz w:val="20"/>
          <w:szCs w:val="20"/>
        </w:rPr>
        <w:t xml:space="preserve">, </w:t>
      </w:r>
      <w:r w:rsidR="00864BE6">
        <w:rPr>
          <w:rFonts w:ascii="Arial" w:hAnsi="Arial" w:cs="Arial"/>
          <w:sz w:val="20"/>
          <w:szCs w:val="20"/>
        </w:rPr>
        <w:t>Procurador</w:t>
      </w:r>
      <w:r w:rsidR="00966733" w:rsidRPr="0042647A">
        <w:rPr>
          <w:rFonts w:ascii="Arial" w:hAnsi="Arial" w:cs="Arial"/>
          <w:sz w:val="20"/>
          <w:szCs w:val="20"/>
        </w:rPr>
        <w:t xml:space="preserve">, portador do R.G. n.º </w:t>
      </w:r>
      <w:r w:rsidR="00104041">
        <w:rPr>
          <w:rFonts w:ascii="Arial" w:hAnsi="Arial" w:cs="Arial"/>
          <w:sz w:val="20"/>
          <w:szCs w:val="20"/>
        </w:rPr>
        <w:t>2.725.212</w:t>
      </w:r>
      <w:r w:rsidR="00966733" w:rsidRPr="0042647A">
        <w:rPr>
          <w:rFonts w:ascii="Arial" w:hAnsi="Arial" w:cs="Arial"/>
          <w:sz w:val="20"/>
          <w:szCs w:val="20"/>
        </w:rPr>
        <w:t xml:space="preserve"> e CPF n.º </w:t>
      </w:r>
      <w:r w:rsidR="00104041">
        <w:rPr>
          <w:rFonts w:ascii="Arial" w:hAnsi="Arial" w:cs="Arial"/>
          <w:sz w:val="20"/>
          <w:szCs w:val="20"/>
        </w:rPr>
        <w:t>046.990.848-34</w:t>
      </w:r>
      <w:r w:rsidR="00966733" w:rsidRPr="0042647A">
        <w:rPr>
          <w:rFonts w:ascii="Arial" w:hAnsi="Arial" w:cs="Arial"/>
          <w:sz w:val="20"/>
          <w:szCs w:val="20"/>
        </w:rPr>
        <w:t xml:space="preserve">, doravante denominada </w:t>
      </w:r>
      <w:r w:rsidR="00966733" w:rsidRPr="00104041">
        <w:rPr>
          <w:rFonts w:ascii="Arial" w:hAnsi="Arial" w:cs="Arial"/>
          <w:b/>
          <w:sz w:val="20"/>
          <w:szCs w:val="20"/>
        </w:rPr>
        <w:t>DETENTORA DA ATA/CONTRATADA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104041">
        <w:rPr>
          <w:rFonts w:ascii="Arial" w:hAnsi="Arial" w:cs="Arial"/>
          <w:sz w:val="20"/>
        </w:rPr>
        <w:t xml:space="preserve"> – Lotes 11 e 12</w:t>
      </w:r>
      <w:r w:rsidR="00966733"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 w:rsidR="00966733">
        <w:rPr>
          <w:rFonts w:ascii="Arial" w:hAnsi="Arial" w:cs="Arial"/>
          <w:sz w:val="20"/>
          <w:szCs w:val="20"/>
        </w:rPr>
        <w:t xml:space="preserve">do </w:t>
      </w:r>
      <w:r w:rsidR="00966733" w:rsidRPr="0042647A">
        <w:rPr>
          <w:rFonts w:ascii="Arial" w:hAnsi="Arial" w:cs="Arial"/>
          <w:sz w:val="20"/>
          <w:szCs w:val="20"/>
        </w:rPr>
        <w:t xml:space="preserve">Pregão </w:t>
      </w:r>
      <w:r w:rsidR="00966733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300mm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35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400mm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6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pressão, conforme norma NBR 7675/2005, revestido internamente com argamassa de cimento conforme NBR 8682, com bolsa modelo JGS segundo a norma 13747 e anel de borracha conforme NBR 7674  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60mm bolsa cabeçote de ferro fundido para PVC cunha emborrachada NBR 14968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110mm bolsa cabeçote de ferro fundido para PVC cunha emborrachada NBR 14968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150mm bolsa cabeçote de ferro fundido para JGS cunha emborrachada NBR 14968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200mm bolsa cabeçote de ferro fundido para JGS cunha emborrachada NBR 14968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2.2) </w:t>
      </w:r>
      <w:r w:rsidRPr="00B37D5B">
        <w:rPr>
          <w:rFonts w:ascii="Arial" w:hAnsi="Arial" w:cs="Arial"/>
          <w:sz w:val="20"/>
          <w:szCs w:val="20"/>
        </w:rPr>
        <w:t>O fornecimento dos materiais será efetuado em conformidade com as determinações do Anexo I – Termo de Referência d</w:t>
      </w:r>
      <w:r w:rsidR="00DC022B">
        <w:rPr>
          <w:rFonts w:ascii="Arial" w:hAnsi="Arial" w:cs="Arial"/>
          <w:sz w:val="20"/>
          <w:szCs w:val="20"/>
        </w:rPr>
        <w:t>o</w:t>
      </w:r>
      <w:r w:rsidRPr="00B37D5B">
        <w:rPr>
          <w:rFonts w:ascii="Arial" w:hAnsi="Arial" w:cs="Arial"/>
          <w:sz w:val="20"/>
          <w:szCs w:val="20"/>
        </w:rPr>
        <w:t xml:space="preserve">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</w:t>
      </w:r>
      <w:proofErr w:type="gramStart"/>
      <w:r w:rsidRPr="00B37D5B">
        <w:rPr>
          <w:rFonts w:ascii="Arial" w:hAnsi="Arial" w:cs="Arial"/>
          <w:sz w:val="20"/>
          <w:szCs w:val="20"/>
        </w:rPr>
        <w:t>do(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BE68E0">
        <w:rPr>
          <w:rFonts w:ascii="Arial" w:hAnsi="Arial" w:cs="Arial"/>
          <w:sz w:val="20"/>
          <w:szCs w:val="20"/>
        </w:rPr>
        <w:t>Os</w:t>
      </w:r>
      <w:proofErr w:type="gramEnd"/>
      <w:r w:rsidRPr="00BE68E0">
        <w:rPr>
          <w:rFonts w:ascii="Arial" w:hAnsi="Arial" w:cs="Arial"/>
          <w:sz w:val="20"/>
          <w:szCs w:val="20"/>
        </w:rPr>
        <w:t xml:space="preserve">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no Almoxarifado da SAECIL – Superintendência de Água e Esgotos da Cidade de Leme, sito à Rua Padre Julião, </w:t>
      </w:r>
      <w:proofErr w:type="gramStart"/>
      <w:r w:rsidR="00631911" w:rsidRPr="009D139C">
        <w:rPr>
          <w:rFonts w:ascii="Arial" w:hAnsi="Arial" w:cs="Arial"/>
          <w:sz w:val="20"/>
          <w:szCs w:val="20"/>
        </w:rPr>
        <w:t>n.º</w:t>
      </w:r>
      <w:proofErr w:type="gramEnd"/>
      <w:r w:rsidR="00631911" w:rsidRPr="009D139C">
        <w:rPr>
          <w:rFonts w:ascii="Arial" w:hAnsi="Arial" w:cs="Arial"/>
          <w:sz w:val="20"/>
          <w:szCs w:val="20"/>
        </w:rPr>
        <w:t xml:space="preserve"> 971, Centro – Leme/SP,</w:t>
      </w:r>
      <w:r w:rsidR="00631911">
        <w:rPr>
          <w:rFonts w:ascii="Arial" w:hAnsi="Arial" w:cs="Arial"/>
          <w:sz w:val="20"/>
          <w:szCs w:val="20"/>
        </w:rPr>
        <w:t xml:space="preserve"> com exceção ao </w:t>
      </w:r>
      <w:r w:rsidR="00DC022B">
        <w:rPr>
          <w:rFonts w:ascii="Arial" w:hAnsi="Arial" w:cs="Arial"/>
          <w:sz w:val="20"/>
          <w:szCs w:val="20"/>
        </w:rPr>
        <w:t>Lote 11</w:t>
      </w:r>
      <w:r w:rsidR="00631911">
        <w:rPr>
          <w:rFonts w:ascii="Arial" w:hAnsi="Arial" w:cs="Arial"/>
          <w:sz w:val="20"/>
          <w:szCs w:val="20"/>
        </w:rPr>
        <w:t xml:space="preserve">, cuja entrega deverá ser realizada no Reservatório Santana, sito à Rua Prestes Maia, </w:t>
      </w:r>
      <w:r w:rsidR="00631911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631911">
        <w:rPr>
          <w:rFonts w:ascii="Arial" w:hAnsi="Arial" w:cs="Arial"/>
          <w:sz w:val="20"/>
          <w:szCs w:val="20"/>
        </w:rPr>
        <w:t>às 16</w:t>
      </w:r>
      <w:r w:rsidR="00631911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proofErr w:type="gramStart"/>
      <w:r w:rsidRPr="00BF65C1">
        <w:rPr>
          <w:rFonts w:ascii="Arial" w:hAnsi="Arial" w:cs="Arial"/>
          <w:sz w:val="20"/>
          <w:szCs w:val="20"/>
        </w:rPr>
        <w:t>) Durante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 xml:space="preserve">) Constituem motivos para cancelamento da Ata de Registro de Preços as situações referidas nos Artigos 77 e 78 da Lei Federal </w:t>
      </w:r>
      <w:proofErr w:type="gramStart"/>
      <w:r w:rsidR="00966733" w:rsidRPr="00BF65C1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lastRenderedPageBreak/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580"/>
        <w:gridCol w:w="641"/>
        <w:gridCol w:w="4716"/>
        <w:gridCol w:w="1276"/>
        <w:gridCol w:w="1269"/>
      </w:tblGrid>
      <w:tr w:rsidR="00DC022B" w:rsidRPr="00DC022B" w:rsidTr="003C1D09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 xml:space="preserve">LOTE 11 – DESCRIÇÃO E QUANTIDADES </w:t>
            </w:r>
          </w:p>
        </w:tc>
      </w:tr>
      <w:tr w:rsidR="00DC022B" w:rsidRPr="00DC022B" w:rsidTr="00DC022B">
        <w:trPr>
          <w:jc w:val="center"/>
        </w:trPr>
        <w:tc>
          <w:tcPr>
            <w:tcW w:w="57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0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C022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DC022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716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DC022B" w:rsidRPr="004A2DC7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DC022B" w:rsidRPr="004A2DC7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DC022B" w:rsidRPr="00DC022B" w:rsidTr="00DC022B">
        <w:trPr>
          <w:jc w:val="center"/>
        </w:trPr>
        <w:tc>
          <w:tcPr>
            <w:tcW w:w="579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716" w:type="dxa"/>
            <w:vAlign w:val="center"/>
          </w:tcPr>
          <w:p w:rsidR="00DC022B" w:rsidRPr="00DC022B" w:rsidRDefault="00DC022B" w:rsidP="00CC7E7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Tubo 300mm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76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378,74</w:t>
            </w:r>
          </w:p>
        </w:tc>
        <w:tc>
          <w:tcPr>
            <w:tcW w:w="126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22.724,40</w:t>
            </w:r>
          </w:p>
        </w:tc>
      </w:tr>
      <w:tr w:rsidR="00DC022B" w:rsidRPr="00DC022B" w:rsidTr="00DC022B">
        <w:trPr>
          <w:jc w:val="center"/>
        </w:trPr>
        <w:tc>
          <w:tcPr>
            <w:tcW w:w="579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80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716" w:type="dxa"/>
            <w:vAlign w:val="center"/>
          </w:tcPr>
          <w:p w:rsidR="00DC022B" w:rsidRPr="00DC022B" w:rsidRDefault="00DC022B" w:rsidP="00CC7E7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Tubo 350mm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76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498,71</w:t>
            </w:r>
          </w:p>
        </w:tc>
        <w:tc>
          <w:tcPr>
            <w:tcW w:w="126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29.922,60</w:t>
            </w:r>
          </w:p>
        </w:tc>
      </w:tr>
      <w:tr w:rsidR="00DC022B" w:rsidRPr="00DC022B" w:rsidTr="00DC022B">
        <w:trPr>
          <w:jc w:val="center"/>
        </w:trPr>
        <w:tc>
          <w:tcPr>
            <w:tcW w:w="579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80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716" w:type="dxa"/>
            <w:vAlign w:val="center"/>
          </w:tcPr>
          <w:p w:rsidR="00DC022B" w:rsidRPr="00DC022B" w:rsidRDefault="00DC022B" w:rsidP="00CC7E7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Tubo 400mm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76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533,03</w:t>
            </w:r>
          </w:p>
        </w:tc>
        <w:tc>
          <w:tcPr>
            <w:tcW w:w="126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31.981,80</w:t>
            </w:r>
          </w:p>
        </w:tc>
      </w:tr>
      <w:tr w:rsidR="00DC022B" w:rsidRPr="00DC022B" w:rsidTr="00DC022B">
        <w:trPr>
          <w:jc w:val="center"/>
        </w:trPr>
        <w:tc>
          <w:tcPr>
            <w:tcW w:w="579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80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716" w:type="dxa"/>
            <w:vAlign w:val="center"/>
          </w:tcPr>
          <w:p w:rsidR="00DC022B" w:rsidRPr="00DC022B" w:rsidRDefault="00DC022B" w:rsidP="00CC7E7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Tubo 500mm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76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668,16</w:t>
            </w:r>
          </w:p>
        </w:tc>
        <w:tc>
          <w:tcPr>
            <w:tcW w:w="126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40.089,60</w:t>
            </w:r>
          </w:p>
        </w:tc>
      </w:tr>
      <w:tr w:rsidR="00DC022B" w:rsidRPr="00DC022B" w:rsidTr="00DC022B">
        <w:trPr>
          <w:jc w:val="center"/>
        </w:trPr>
        <w:tc>
          <w:tcPr>
            <w:tcW w:w="579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80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716" w:type="dxa"/>
            <w:vAlign w:val="center"/>
          </w:tcPr>
          <w:p w:rsidR="00DC022B" w:rsidRPr="00DC022B" w:rsidRDefault="00DC022B" w:rsidP="00CC7E7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Tubo 600mm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76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866,92</w:t>
            </w:r>
          </w:p>
        </w:tc>
        <w:tc>
          <w:tcPr>
            <w:tcW w:w="126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52.015,20</w:t>
            </w:r>
          </w:p>
        </w:tc>
      </w:tr>
      <w:tr w:rsidR="000F5B64" w:rsidRPr="00DC022B" w:rsidTr="0080488C">
        <w:trPr>
          <w:jc w:val="center"/>
        </w:trPr>
        <w:tc>
          <w:tcPr>
            <w:tcW w:w="7792" w:type="dxa"/>
            <w:gridSpan w:val="5"/>
            <w:vAlign w:val="center"/>
          </w:tcPr>
          <w:p w:rsidR="000F5B64" w:rsidRDefault="00E3756F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11</w:t>
            </w:r>
          </w:p>
        </w:tc>
        <w:tc>
          <w:tcPr>
            <w:tcW w:w="1269" w:type="dxa"/>
            <w:vAlign w:val="center"/>
          </w:tcPr>
          <w:p w:rsidR="000F5B64" w:rsidRPr="00E3756F" w:rsidRDefault="00E3756F" w:rsidP="00DC02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756F">
              <w:rPr>
                <w:rFonts w:ascii="Arial" w:eastAsia="Times New Roman" w:hAnsi="Arial" w:cs="Arial"/>
                <w:b/>
                <w:sz w:val="16"/>
                <w:szCs w:val="16"/>
              </w:rPr>
              <w:t>R$ 176.733,60</w:t>
            </w:r>
          </w:p>
        </w:tc>
      </w:tr>
    </w:tbl>
    <w:p w:rsidR="00DC022B" w:rsidRPr="00DC022B" w:rsidRDefault="00DC022B" w:rsidP="00DC022B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579"/>
        <w:gridCol w:w="641"/>
        <w:gridCol w:w="4718"/>
        <w:gridCol w:w="1276"/>
        <w:gridCol w:w="1269"/>
      </w:tblGrid>
      <w:tr w:rsidR="00DC022B" w:rsidRPr="00DC022B" w:rsidTr="000741B8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DC022B" w:rsidRPr="00DC022B" w:rsidRDefault="00DC022B" w:rsidP="00CC7E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 xml:space="preserve">LOTE 12 – DESCRIÇÃO E QUANTIDADES </w:t>
            </w:r>
          </w:p>
        </w:tc>
      </w:tr>
      <w:tr w:rsidR="00DC022B" w:rsidRPr="00DC022B" w:rsidTr="007A5BCB">
        <w:trPr>
          <w:jc w:val="center"/>
        </w:trPr>
        <w:tc>
          <w:tcPr>
            <w:tcW w:w="578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7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C022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DC022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718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022B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DC022B" w:rsidRPr="004A2DC7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DC022B" w:rsidRPr="004A2DC7" w:rsidRDefault="00DC022B" w:rsidP="00DC02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DC022B" w:rsidRPr="00DC022B" w:rsidTr="00997BFB">
        <w:trPr>
          <w:jc w:val="center"/>
        </w:trPr>
        <w:tc>
          <w:tcPr>
            <w:tcW w:w="578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8" w:type="dxa"/>
            <w:vAlign w:val="center"/>
          </w:tcPr>
          <w:p w:rsidR="00DC022B" w:rsidRPr="00DC022B" w:rsidRDefault="00DC022B" w:rsidP="00DC022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60mm bolsa cabeçote de ferro fundido para PVC cunha emborrachada NBR 14968         </w:t>
            </w:r>
          </w:p>
        </w:tc>
        <w:tc>
          <w:tcPr>
            <w:tcW w:w="1276" w:type="dxa"/>
            <w:vAlign w:val="center"/>
          </w:tcPr>
          <w:p w:rsidR="00DC022B" w:rsidRPr="00DC022B" w:rsidRDefault="00F260F2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212,37</w:t>
            </w:r>
          </w:p>
        </w:tc>
        <w:tc>
          <w:tcPr>
            <w:tcW w:w="1269" w:type="dxa"/>
            <w:vAlign w:val="center"/>
          </w:tcPr>
          <w:p w:rsidR="00DC022B" w:rsidRPr="00DC022B" w:rsidRDefault="00F260F2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2.123,70</w:t>
            </w:r>
          </w:p>
        </w:tc>
      </w:tr>
      <w:tr w:rsidR="00DC022B" w:rsidRPr="00DC022B" w:rsidTr="00997BFB">
        <w:trPr>
          <w:jc w:val="center"/>
        </w:trPr>
        <w:tc>
          <w:tcPr>
            <w:tcW w:w="578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7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8" w:type="dxa"/>
            <w:vAlign w:val="center"/>
          </w:tcPr>
          <w:p w:rsidR="00DC022B" w:rsidRPr="00DC022B" w:rsidRDefault="00DC022B" w:rsidP="00DC022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110mm bolsa cabeçote de ferro fundido para PVC cunha emborrachada NBR 14968    </w:t>
            </w:r>
          </w:p>
        </w:tc>
        <w:tc>
          <w:tcPr>
            <w:tcW w:w="1276" w:type="dxa"/>
            <w:vAlign w:val="center"/>
          </w:tcPr>
          <w:p w:rsidR="00DC022B" w:rsidRPr="00DC022B" w:rsidRDefault="000F5B64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346,03</w:t>
            </w:r>
          </w:p>
        </w:tc>
        <w:tc>
          <w:tcPr>
            <w:tcW w:w="1269" w:type="dxa"/>
            <w:vAlign w:val="center"/>
          </w:tcPr>
          <w:p w:rsidR="00DC022B" w:rsidRPr="00DC022B" w:rsidRDefault="000F5B64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1.730,15</w:t>
            </w:r>
          </w:p>
        </w:tc>
      </w:tr>
      <w:tr w:rsidR="00DC022B" w:rsidRPr="00DC022B" w:rsidTr="00997BFB">
        <w:trPr>
          <w:jc w:val="center"/>
        </w:trPr>
        <w:tc>
          <w:tcPr>
            <w:tcW w:w="578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7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8" w:type="dxa"/>
            <w:vAlign w:val="center"/>
          </w:tcPr>
          <w:p w:rsidR="00DC022B" w:rsidRPr="00DC022B" w:rsidRDefault="00DC022B" w:rsidP="00DC022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Registro de gaveta 150mm bolsa cabeçote de ferro fundido para JGS cunha emborrachada NBR 14968</w:t>
            </w:r>
          </w:p>
        </w:tc>
        <w:tc>
          <w:tcPr>
            <w:tcW w:w="1276" w:type="dxa"/>
            <w:vAlign w:val="center"/>
          </w:tcPr>
          <w:p w:rsidR="00DC022B" w:rsidRPr="00DC022B" w:rsidRDefault="000F5B64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574,14</w:t>
            </w:r>
          </w:p>
        </w:tc>
        <w:tc>
          <w:tcPr>
            <w:tcW w:w="1269" w:type="dxa"/>
            <w:vAlign w:val="center"/>
          </w:tcPr>
          <w:p w:rsidR="00DC022B" w:rsidRPr="00DC022B" w:rsidRDefault="000F5B64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2.870,70</w:t>
            </w:r>
          </w:p>
        </w:tc>
      </w:tr>
      <w:tr w:rsidR="00DC022B" w:rsidRPr="00DC022B" w:rsidTr="00997BFB">
        <w:trPr>
          <w:jc w:val="center"/>
        </w:trPr>
        <w:tc>
          <w:tcPr>
            <w:tcW w:w="578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79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41" w:type="dxa"/>
            <w:vAlign w:val="center"/>
          </w:tcPr>
          <w:p w:rsidR="00DC022B" w:rsidRPr="00DC022B" w:rsidRDefault="00DC022B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8" w:type="dxa"/>
            <w:vAlign w:val="center"/>
          </w:tcPr>
          <w:p w:rsidR="00DC022B" w:rsidRPr="00DC022B" w:rsidRDefault="00DC022B" w:rsidP="00DC022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022B">
              <w:rPr>
                <w:rFonts w:ascii="Arial" w:eastAsia="Times New Roman" w:hAnsi="Arial" w:cs="Arial"/>
                <w:sz w:val="16"/>
                <w:szCs w:val="16"/>
              </w:rPr>
              <w:t>Registro de gaveta 200mm bolsa cabeçote de ferro fundido para JGS cunha emborrachada NBR 14968</w:t>
            </w:r>
          </w:p>
        </w:tc>
        <w:tc>
          <w:tcPr>
            <w:tcW w:w="1276" w:type="dxa"/>
            <w:vAlign w:val="center"/>
          </w:tcPr>
          <w:p w:rsidR="00DC022B" w:rsidRPr="00DC022B" w:rsidRDefault="000F5B64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1.055,09</w:t>
            </w:r>
          </w:p>
        </w:tc>
        <w:tc>
          <w:tcPr>
            <w:tcW w:w="1269" w:type="dxa"/>
            <w:vAlign w:val="center"/>
          </w:tcPr>
          <w:p w:rsidR="00DC022B" w:rsidRPr="00DC022B" w:rsidRDefault="000F5B64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5.275,45</w:t>
            </w:r>
          </w:p>
        </w:tc>
      </w:tr>
      <w:tr w:rsidR="000F5B64" w:rsidRPr="00DC022B" w:rsidTr="00710C10">
        <w:trPr>
          <w:jc w:val="center"/>
        </w:trPr>
        <w:tc>
          <w:tcPr>
            <w:tcW w:w="7792" w:type="dxa"/>
            <w:gridSpan w:val="5"/>
            <w:vAlign w:val="center"/>
          </w:tcPr>
          <w:p w:rsidR="000F5B64" w:rsidRDefault="00E3756F" w:rsidP="00DC022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12</w:t>
            </w:r>
          </w:p>
        </w:tc>
        <w:tc>
          <w:tcPr>
            <w:tcW w:w="1269" w:type="dxa"/>
            <w:vAlign w:val="center"/>
          </w:tcPr>
          <w:p w:rsidR="000F5B64" w:rsidRPr="00E3756F" w:rsidRDefault="00E3756F" w:rsidP="00DC02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756F">
              <w:rPr>
                <w:rFonts w:ascii="Arial" w:eastAsia="Times New Roman" w:hAnsi="Arial" w:cs="Arial"/>
                <w:b/>
                <w:sz w:val="16"/>
                <w:szCs w:val="16"/>
              </w:rPr>
              <w:t>R$ 12.000,00</w:t>
            </w:r>
          </w:p>
        </w:tc>
      </w:tr>
    </w:tbl>
    <w:p w:rsidR="00DC022B" w:rsidRPr="00DC022B" w:rsidRDefault="00DC022B" w:rsidP="00966733">
      <w:pPr>
        <w:jc w:val="both"/>
        <w:rPr>
          <w:rFonts w:ascii="Arial" w:hAnsi="Arial" w:cs="Arial"/>
          <w:sz w:val="16"/>
          <w:szCs w:val="16"/>
        </w:rPr>
      </w:pPr>
    </w:p>
    <w:p w:rsidR="00E3756F" w:rsidRPr="00135A76" w:rsidRDefault="00E3756F" w:rsidP="00E3756F">
      <w:pPr>
        <w:jc w:val="both"/>
        <w:rPr>
          <w:rFonts w:ascii="Arial" w:hAnsi="Arial" w:cs="Arial"/>
          <w:b/>
          <w:sz w:val="20"/>
          <w:szCs w:val="20"/>
        </w:rPr>
      </w:pPr>
      <w:r w:rsidRPr="00135A76">
        <w:rPr>
          <w:rFonts w:ascii="Arial" w:hAnsi="Arial" w:cs="Arial"/>
          <w:b/>
          <w:sz w:val="20"/>
          <w:szCs w:val="20"/>
        </w:rPr>
        <w:t>VALOR TOTAL DA ATA</w:t>
      </w:r>
      <w:r>
        <w:rPr>
          <w:rFonts w:ascii="Arial" w:hAnsi="Arial" w:cs="Arial"/>
          <w:b/>
          <w:sz w:val="20"/>
          <w:szCs w:val="20"/>
        </w:rPr>
        <w:t>: R$ 188.733,60 (cento e oitenta e oito mil, setecentos e trinta e três reais e sessenta centavos).</w:t>
      </w:r>
    </w:p>
    <w:p w:rsidR="00E3756F" w:rsidRDefault="00E3756F" w:rsidP="00E3756F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 xml:space="preserve"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</w:t>
      </w:r>
      <w:r w:rsidRPr="00A00E0F">
        <w:rPr>
          <w:rFonts w:ascii="Arial" w:hAnsi="Arial" w:cs="Arial"/>
          <w:sz w:val="20"/>
          <w:szCs w:val="20"/>
        </w:rPr>
        <w:lastRenderedPageBreak/>
        <w:t>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</w:t>
      </w:r>
      <w:proofErr w:type="gramEnd"/>
      <w:r w:rsidR="003E5333">
        <w:rPr>
          <w:rFonts w:ascii="Arial" w:hAnsi="Arial" w:cs="Arial"/>
          <w:sz w:val="20"/>
          <w:szCs w:val="20"/>
        </w:rPr>
        <w:t xml:space="preserve">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</w:t>
      </w:r>
      <w:proofErr w:type="gramStart"/>
      <w:r w:rsidRPr="00942765">
        <w:rPr>
          <w:rFonts w:ascii="Arial" w:hAnsi="Arial" w:cs="Arial"/>
          <w:sz w:val="20"/>
          <w:szCs w:val="20"/>
        </w:rPr>
        <w:t>) Todo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proofErr w:type="gramStart"/>
      <w:r w:rsidRPr="00942765">
        <w:rPr>
          <w:rFonts w:ascii="Arial" w:hAnsi="Arial" w:cs="Arial"/>
          <w:sz w:val="20"/>
          <w:szCs w:val="20"/>
        </w:rPr>
        <w:t>) Por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7.1</w:t>
      </w:r>
      <w:proofErr w:type="gramStart"/>
      <w:r w:rsidRPr="002F1832">
        <w:rPr>
          <w:rFonts w:ascii="Arial" w:hAnsi="Arial" w:cs="Arial"/>
          <w:sz w:val="20"/>
          <w:szCs w:val="20"/>
        </w:rPr>
        <w:t>) Por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E3756F" w:rsidRDefault="00E3756F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Manter</w:t>
      </w:r>
      <w:proofErr w:type="gramEnd"/>
      <w:r w:rsidRPr="002F1832">
        <w:rPr>
          <w:rFonts w:ascii="Arial" w:hAnsi="Arial" w:cs="Arial"/>
          <w:sz w:val="20"/>
          <w:szCs w:val="20"/>
        </w:rPr>
        <w:t>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 Comprovar</w:t>
      </w:r>
      <w:proofErr w:type="gramEnd"/>
      <w:r w:rsidRPr="002F1832">
        <w:rPr>
          <w:rFonts w:ascii="Arial" w:hAnsi="Arial" w:cs="Arial"/>
          <w:sz w:val="20"/>
          <w:szCs w:val="20"/>
        </w:rPr>
        <w:t>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III) Indicar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IV) Desenvolver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V) Prestar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7.5</w:t>
      </w:r>
      <w:proofErr w:type="gramStart"/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Efetuar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</w:t>
      </w:r>
      <w:proofErr w:type="gramEnd"/>
      <w:r w:rsidR="00E26765" w:rsidRPr="002F1832">
        <w:rPr>
          <w:rFonts w:ascii="Arial" w:hAnsi="Arial" w:cs="Arial"/>
          <w:sz w:val="20"/>
          <w:szCs w:val="20"/>
        </w:rPr>
        <w:t xml:space="preserve">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E375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3756F">
        <w:rPr>
          <w:rFonts w:ascii="Arial" w:hAnsi="Arial" w:cs="Arial"/>
          <w:sz w:val="20"/>
          <w:szCs w:val="20"/>
        </w:rPr>
        <w:t>n.º</w:t>
      </w:r>
      <w:proofErr w:type="gramEnd"/>
      <w:r w:rsidR="00E3756F">
        <w:rPr>
          <w:rFonts w:ascii="Arial" w:hAnsi="Arial" w:cs="Arial"/>
          <w:sz w:val="20"/>
          <w:szCs w:val="20"/>
        </w:rPr>
        <w:t xml:space="preserve"> 05</w:t>
      </w:r>
      <w:r w:rsidR="00966733" w:rsidRPr="002F1832">
        <w:rPr>
          <w:rFonts w:ascii="Arial" w:hAnsi="Arial" w:cs="Arial"/>
          <w:sz w:val="20"/>
          <w:szCs w:val="20"/>
        </w:rPr>
        <w:t>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E3756F">
        <w:rPr>
          <w:rFonts w:ascii="Arial" w:hAnsi="Arial" w:cs="Arial"/>
          <w:sz w:val="20"/>
          <w:szCs w:val="20"/>
        </w:rPr>
        <w:t>ão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 </w:t>
      </w:r>
      <w:proofErr w:type="gramStart"/>
      <w:r w:rsidR="007876EC">
        <w:rPr>
          <w:rFonts w:ascii="Arial" w:hAnsi="Arial" w:cs="Arial"/>
          <w:sz w:val="20"/>
          <w:szCs w:val="20"/>
        </w:rPr>
        <w:t>n.º</w:t>
      </w:r>
      <w:proofErr w:type="gramEnd"/>
      <w:r w:rsidR="007876EC">
        <w:rPr>
          <w:rFonts w:ascii="Arial" w:hAnsi="Arial" w:cs="Arial"/>
          <w:sz w:val="20"/>
          <w:szCs w:val="20"/>
        </w:rPr>
        <w:t xml:space="preserve"> 030102.1751200422.027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>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3756F" w:rsidRDefault="00E3756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E3756F" w:rsidRDefault="00E3756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E3756F" w:rsidRDefault="00E3756F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</w:t>
      </w:r>
      <w:r w:rsidRPr="00A00E0F">
        <w:rPr>
          <w:rFonts w:ascii="Arial" w:hAnsi="Arial" w:cs="Arial"/>
          <w:sz w:val="20"/>
          <w:szCs w:val="20"/>
        </w:rPr>
        <w:lastRenderedPageBreak/>
        <w:t xml:space="preserve">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F7029F" w:rsidRPr="00A00E0F" w:rsidRDefault="00F7029F" w:rsidP="00F7029F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29</w:t>
      </w:r>
      <w:r w:rsidRPr="00A00E0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A00E0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8.</w:t>
      </w:r>
    </w:p>
    <w:p w:rsidR="00F7029F" w:rsidRPr="00A00E0F" w:rsidRDefault="00F7029F" w:rsidP="00F7029F">
      <w:pPr>
        <w:jc w:val="both"/>
        <w:rPr>
          <w:rFonts w:ascii="Arial" w:hAnsi="Arial" w:cs="Arial"/>
          <w:sz w:val="20"/>
          <w:szCs w:val="20"/>
        </w:rPr>
      </w:pPr>
    </w:p>
    <w:p w:rsidR="00F7029F" w:rsidRDefault="00F7029F" w:rsidP="00F7029F">
      <w:pPr>
        <w:jc w:val="both"/>
        <w:rPr>
          <w:rFonts w:ascii="Arial" w:hAnsi="Arial" w:cs="Arial"/>
          <w:b/>
          <w:sz w:val="20"/>
          <w:szCs w:val="20"/>
        </w:rPr>
      </w:pPr>
    </w:p>
    <w:p w:rsidR="00F7029F" w:rsidRDefault="00F7029F" w:rsidP="00F7029F">
      <w:pPr>
        <w:jc w:val="both"/>
        <w:rPr>
          <w:rFonts w:ascii="Arial" w:hAnsi="Arial" w:cs="Arial"/>
          <w:b/>
          <w:sz w:val="20"/>
          <w:szCs w:val="20"/>
        </w:rPr>
      </w:pPr>
    </w:p>
    <w:p w:rsidR="00F7029F" w:rsidRPr="009E0FC5" w:rsidRDefault="00F7029F" w:rsidP="00F7029F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F7029F" w:rsidRPr="009E0FC5" w:rsidRDefault="00F7029F" w:rsidP="00F7029F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F7029F" w:rsidRDefault="00F7029F" w:rsidP="00F7029F">
      <w:pPr>
        <w:jc w:val="both"/>
        <w:rPr>
          <w:rFonts w:ascii="Arial" w:hAnsi="Arial" w:cs="Arial"/>
          <w:sz w:val="20"/>
          <w:szCs w:val="20"/>
        </w:rPr>
      </w:pPr>
    </w:p>
    <w:p w:rsidR="00F7029F" w:rsidRDefault="00F7029F" w:rsidP="00F7029F">
      <w:pPr>
        <w:jc w:val="both"/>
        <w:rPr>
          <w:rFonts w:ascii="Arial" w:hAnsi="Arial" w:cs="Arial"/>
          <w:sz w:val="20"/>
          <w:szCs w:val="20"/>
        </w:rPr>
      </w:pPr>
    </w:p>
    <w:p w:rsidR="00F7029F" w:rsidRPr="00A00E0F" w:rsidRDefault="00F7029F" w:rsidP="00F7029F">
      <w:pPr>
        <w:jc w:val="both"/>
        <w:rPr>
          <w:rFonts w:ascii="Arial" w:hAnsi="Arial" w:cs="Arial"/>
          <w:sz w:val="20"/>
          <w:szCs w:val="20"/>
        </w:rPr>
      </w:pPr>
    </w:p>
    <w:p w:rsidR="00F7029F" w:rsidRPr="00A00E0F" w:rsidRDefault="00F7029F" w:rsidP="00F702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F7029F" w:rsidRDefault="00F7029F" w:rsidP="00F702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F7029F" w:rsidRPr="00A00E0F" w:rsidRDefault="00F7029F" w:rsidP="00F702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F7029F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Saint Gobain Canalização Ltda.</w:t>
      </w:r>
    </w:p>
    <w:p w:rsidR="00222C3C" w:rsidRPr="009E0FC5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F7029F" w:rsidRDefault="00F7029F" w:rsidP="00966733">
      <w:pPr>
        <w:jc w:val="both"/>
        <w:rPr>
          <w:rFonts w:ascii="Arial" w:hAnsi="Arial" w:cs="Arial"/>
          <w:sz w:val="20"/>
          <w:szCs w:val="20"/>
        </w:rPr>
      </w:pPr>
    </w:p>
    <w:p w:rsidR="00F7029F" w:rsidRDefault="00F7029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F7029F" w:rsidRDefault="00F7029F" w:rsidP="00F7029F">
      <w:pPr>
        <w:jc w:val="both"/>
        <w:rPr>
          <w:rFonts w:ascii="Arial" w:hAnsi="Arial" w:cs="Arial"/>
          <w:sz w:val="20"/>
          <w:szCs w:val="20"/>
        </w:rPr>
      </w:pPr>
      <w:r w:rsidRPr="00F7029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F70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F7029F">
        <w:rPr>
          <w:rFonts w:ascii="Arial" w:hAnsi="Arial" w:cs="Arial"/>
          <w:sz w:val="20"/>
          <w:szCs w:val="20"/>
        </w:rPr>
        <w:t xml:space="preserve"> Renato Sylvio </w:t>
      </w:r>
      <w:proofErr w:type="spellStart"/>
      <w:r w:rsidRPr="00F7029F">
        <w:rPr>
          <w:rFonts w:ascii="Arial" w:hAnsi="Arial" w:cs="Arial"/>
          <w:sz w:val="20"/>
          <w:szCs w:val="20"/>
        </w:rPr>
        <w:t>Falco</w:t>
      </w:r>
      <w:r w:rsidR="00335F79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proofErr w:type="spellEnd"/>
      <w:r w:rsidRPr="00F7029F">
        <w:rPr>
          <w:rFonts w:ascii="Arial" w:hAnsi="Arial" w:cs="Arial"/>
          <w:sz w:val="20"/>
          <w:szCs w:val="20"/>
        </w:rPr>
        <w:t xml:space="preserve">  </w:t>
      </w:r>
    </w:p>
    <w:p w:rsidR="00966733" w:rsidRPr="00F7029F" w:rsidRDefault="00F7029F" w:rsidP="00F702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Procurador</w:t>
      </w:r>
      <w:r w:rsidRPr="00F7029F">
        <w:rPr>
          <w:rFonts w:ascii="Arial" w:hAnsi="Arial" w:cs="Arial"/>
          <w:sz w:val="20"/>
          <w:szCs w:val="20"/>
        </w:rPr>
        <w:t xml:space="preserve">   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F7029F" w:rsidRDefault="00F7029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1E" w:rsidRDefault="00ED281E" w:rsidP="005117C6">
      <w:r>
        <w:separator/>
      </w:r>
    </w:p>
  </w:endnote>
  <w:endnote w:type="continuationSeparator" w:id="0">
    <w:p w:rsidR="00ED281E" w:rsidRDefault="00ED281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64BE6" w:rsidRPr="005117C6" w:rsidRDefault="00864BE6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35F7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7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35F7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7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64BE6" w:rsidRDefault="00864B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1E" w:rsidRDefault="00ED281E" w:rsidP="005117C6">
      <w:r>
        <w:separator/>
      </w:r>
    </w:p>
  </w:footnote>
  <w:footnote w:type="continuationSeparator" w:id="0">
    <w:p w:rsidR="00ED281E" w:rsidRDefault="00ED281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205"/>
    <w:rsid w:val="000E5367"/>
    <w:rsid w:val="000E6E0D"/>
    <w:rsid w:val="000E7583"/>
    <w:rsid w:val="000F5B64"/>
    <w:rsid w:val="00104041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2F71A0"/>
    <w:rsid w:val="0030463B"/>
    <w:rsid w:val="00313073"/>
    <w:rsid w:val="003178A9"/>
    <w:rsid w:val="00323870"/>
    <w:rsid w:val="00335F79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64BE6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3D62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C3C35"/>
    <w:rsid w:val="00CC4D02"/>
    <w:rsid w:val="00CC7364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249"/>
    <w:rsid w:val="00DA3A98"/>
    <w:rsid w:val="00DA7EA8"/>
    <w:rsid w:val="00DB46E4"/>
    <w:rsid w:val="00DB7D9A"/>
    <w:rsid w:val="00DC022B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3756F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81E"/>
    <w:rsid w:val="00ED2D8F"/>
    <w:rsid w:val="00EE625D"/>
    <w:rsid w:val="00EF112D"/>
    <w:rsid w:val="00EF12A9"/>
    <w:rsid w:val="00F16F37"/>
    <w:rsid w:val="00F260F2"/>
    <w:rsid w:val="00F36A7B"/>
    <w:rsid w:val="00F40249"/>
    <w:rsid w:val="00F43A43"/>
    <w:rsid w:val="00F50F6E"/>
    <w:rsid w:val="00F653F9"/>
    <w:rsid w:val="00F7029F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28DBA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3999-E654-434B-B2F9-EC729B5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2952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2018-07-02T12:58:00Z</cp:lastPrinted>
  <dcterms:created xsi:type="dcterms:W3CDTF">2018-06-26T11:01:00Z</dcterms:created>
  <dcterms:modified xsi:type="dcterms:W3CDTF">2018-07-02T13:01:00Z</dcterms:modified>
</cp:coreProperties>
</file>